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5FA" w:rsidRPr="00B10E7A" w:rsidRDefault="00BA3CAC" w:rsidP="00BA3CAC">
      <w:pPr>
        <w:jc w:val="center"/>
        <w:rPr>
          <w:rFonts w:ascii="Arial Narrow" w:hAnsi="Arial Narrow"/>
          <w:b/>
          <w:sz w:val="24"/>
          <w:lang w:val="en-CA"/>
        </w:rPr>
      </w:pPr>
      <w:bookmarkStart w:id="0" w:name="_GoBack"/>
      <w:bookmarkEnd w:id="0"/>
      <w:r w:rsidRPr="00B10E7A">
        <w:rPr>
          <w:rFonts w:ascii="Arial Narrow" w:hAnsi="Arial Narrow"/>
          <w:b/>
          <w:sz w:val="24"/>
          <w:lang w:val="en-CA"/>
        </w:rPr>
        <w:t>Chapter 5. Financial Position</w:t>
      </w:r>
    </w:p>
    <w:p w:rsidR="00BA3CAC" w:rsidRPr="00B10E7A" w:rsidRDefault="00BA3CAC">
      <w:pPr>
        <w:rPr>
          <w:rFonts w:ascii="Arial Narrow" w:hAnsi="Arial Narrow"/>
          <w:sz w:val="24"/>
          <w:lang w:val="en-CA"/>
        </w:rPr>
      </w:pPr>
    </w:p>
    <w:p w:rsidR="007835D9" w:rsidRPr="00B10E7A" w:rsidRDefault="0016673B">
      <w:pPr>
        <w:rPr>
          <w:rFonts w:ascii="Arial Narrow" w:hAnsi="Arial Narrow"/>
          <w:b/>
          <w:sz w:val="24"/>
          <w:lang w:val="en-CA"/>
        </w:rPr>
      </w:pPr>
      <w:r w:rsidRPr="00B10E7A">
        <w:rPr>
          <w:rFonts w:ascii="Arial Narrow" w:hAnsi="Arial Narrow"/>
          <w:b/>
          <w:sz w:val="24"/>
          <w:lang w:val="en-CA"/>
        </w:rPr>
        <w:t>Statement of Financial Position/Balance Sheet</w:t>
      </w:r>
    </w:p>
    <w:p w:rsidR="0016673B" w:rsidRPr="00B10E7A" w:rsidRDefault="0016673B">
      <w:pPr>
        <w:rPr>
          <w:rFonts w:ascii="Arial Narrow" w:hAnsi="Arial Narrow"/>
          <w:sz w:val="24"/>
          <w:lang w:val="en-CA"/>
        </w:rPr>
      </w:pPr>
      <w:r w:rsidRPr="00B10E7A">
        <w:rPr>
          <w:rFonts w:ascii="Arial Narrow" w:hAnsi="Arial Narrow"/>
          <w:sz w:val="24"/>
          <w:lang w:val="en-CA"/>
        </w:rPr>
        <w:t>-photograph of the business at a specific point in time</w:t>
      </w:r>
    </w:p>
    <w:p w:rsidR="0016673B" w:rsidRPr="00B10E7A" w:rsidRDefault="0016673B">
      <w:pPr>
        <w:rPr>
          <w:rFonts w:ascii="Arial Narrow" w:hAnsi="Arial Narrow"/>
          <w:sz w:val="24"/>
          <w:lang w:val="en-CA"/>
        </w:rPr>
      </w:pPr>
      <w:r w:rsidRPr="00B10E7A">
        <w:rPr>
          <w:rFonts w:ascii="Arial Narrow" w:hAnsi="Arial Narrow"/>
          <w:noProof/>
          <w:color w:val="000000" w:themeColor="text1"/>
          <w:sz w:val="24"/>
        </w:rPr>
        <mc:AlternateContent>
          <mc:Choice Requires="wps">
            <w:drawing>
              <wp:anchor distT="0" distB="0" distL="114300" distR="114300" simplePos="0" relativeHeight="251660288" behindDoc="0" locked="0" layoutInCell="1" allowOverlap="1" wp14:anchorId="6B558E02" wp14:editId="4C35CCE6">
                <wp:simplePos x="0" y="0"/>
                <wp:positionH relativeFrom="column">
                  <wp:posOffset>2736850</wp:posOffset>
                </wp:positionH>
                <wp:positionV relativeFrom="paragraph">
                  <wp:posOffset>159385</wp:posOffset>
                </wp:positionV>
                <wp:extent cx="1619250" cy="9144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619250" cy="914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6673B" w:rsidRPr="00B10E7A" w:rsidRDefault="0016673B" w:rsidP="0016673B">
                            <w:pPr>
                              <w:jc w:val="center"/>
                              <w:rPr>
                                <w:rFonts w:ascii="Arial Narrow" w:hAnsi="Arial Narrow"/>
                                <w:b/>
                                <w:color w:val="000000" w:themeColor="text1"/>
                                <w:sz w:val="24"/>
                                <w:lang w:val="en-CA"/>
                              </w:rPr>
                            </w:pPr>
                            <w:r w:rsidRPr="00B10E7A">
                              <w:rPr>
                                <w:rFonts w:ascii="Arial Narrow" w:hAnsi="Arial Narrow"/>
                                <w:b/>
                                <w:color w:val="000000" w:themeColor="text1"/>
                                <w:sz w:val="24"/>
                                <w:lang w:val="en-CA"/>
                              </w:rPr>
                              <w:t>Sources of finance</w:t>
                            </w:r>
                          </w:p>
                          <w:p w:rsidR="0016673B" w:rsidRPr="00B10E7A" w:rsidRDefault="0016673B" w:rsidP="0016673B">
                            <w:pPr>
                              <w:jc w:val="center"/>
                              <w:rPr>
                                <w:rFonts w:ascii="Arial Narrow" w:hAnsi="Arial Narrow"/>
                                <w:color w:val="000000" w:themeColor="text1"/>
                                <w:sz w:val="24"/>
                                <w:lang w:val="en-CA"/>
                              </w:rPr>
                            </w:pPr>
                            <w:r w:rsidRPr="00B10E7A">
                              <w:rPr>
                                <w:rFonts w:ascii="Arial Narrow" w:hAnsi="Arial Narrow"/>
                                <w:color w:val="000000" w:themeColor="text1"/>
                                <w:sz w:val="24"/>
                                <w:lang w:val="en-CA"/>
                              </w:rPr>
                              <w:t>(financial 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6B558E02" id="Rectangle 2" o:spid="_x0000_s1026" style="position:absolute;margin-left:215.5pt;margin-top:12.55pt;width:127.5pt;height:1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" filled="f" strokecolor="#1f4d78 [1604]" strokeweight="1pt">
                <v:textbox>
                  <w:txbxContent>
                    <w:p w:rsidR="0016673B" w:rsidRPr="00B10E7A" w:rsidRDefault="0016673B" w:rsidP="0016673B">
                      <w:pPr>
                        <w:jc w:val="center"/>
                        <w:rPr>
                          <w:rFonts w:ascii="Arial Narrow" w:hAnsi="Arial Narrow"/>
                          <w:b/>
                          <w:color w:val="000000" w:themeColor="text1"/>
                          <w:sz w:val="24"/>
                          <w:lang w:val="en-CA"/>
                        </w:rPr>
                      </w:pPr>
                      <w:r w:rsidRPr="00B10E7A">
                        <w:rPr>
                          <w:rFonts w:ascii="Arial Narrow" w:hAnsi="Arial Narrow"/>
                          <w:b/>
                          <w:color w:val="000000" w:themeColor="text1"/>
                          <w:sz w:val="24"/>
                          <w:lang w:val="en-CA"/>
                        </w:rPr>
                        <w:t>Sources of finance</w:t>
                      </w:r>
                    </w:p>
                    <w:p w:rsidR="0016673B" w:rsidRPr="00B10E7A" w:rsidRDefault="0016673B" w:rsidP="0016673B">
                      <w:pPr>
                        <w:jc w:val="center"/>
                        <w:rPr>
                          <w:rFonts w:ascii="Arial Narrow" w:hAnsi="Arial Narrow"/>
                          <w:color w:val="000000" w:themeColor="text1"/>
                          <w:sz w:val="24"/>
                          <w:lang w:val="en-CA"/>
                        </w:rPr>
                      </w:pPr>
                      <w:r w:rsidRPr="00B10E7A">
                        <w:rPr>
                          <w:rFonts w:ascii="Arial Narrow" w:hAnsi="Arial Narrow"/>
                          <w:color w:val="000000" w:themeColor="text1"/>
                          <w:sz w:val="24"/>
                          <w:lang w:val="en-CA"/>
                        </w:rPr>
                        <w:t>(</w:t>
                      </w:r>
                      <w:proofErr w:type="gramStart"/>
                      <w:r w:rsidRPr="00B10E7A">
                        <w:rPr>
                          <w:rFonts w:ascii="Arial Narrow" w:hAnsi="Arial Narrow"/>
                          <w:color w:val="000000" w:themeColor="text1"/>
                          <w:sz w:val="24"/>
                          <w:lang w:val="en-CA"/>
                        </w:rPr>
                        <w:t>financial</w:t>
                      </w:r>
                      <w:proofErr w:type="gramEnd"/>
                      <w:r w:rsidRPr="00B10E7A">
                        <w:rPr>
                          <w:rFonts w:ascii="Arial Narrow" w:hAnsi="Arial Narrow"/>
                          <w:color w:val="000000" w:themeColor="text1"/>
                          <w:sz w:val="24"/>
                          <w:lang w:val="en-CA"/>
                        </w:rPr>
                        <w:t xml:space="preserve"> structure)</w:t>
                      </w:r>
                    </w:p>
                  </w:txbxContent>
                </v:textbox>
              </v:rect>
            </w:pict>
          </mc:Fallback>
        </mc:AlternateContent>
      </w:r>
      <w:r w:rsidRPr="00B10E7A">
        <w:rPr>
          <w:rFonts w:ascii="Arial Narrow" w:hAnsi="Arial Narrow"/>
          <w:noProof/>
          <w:sz w:val="24"/>
        </w:rPr>
        <mc:AlternateContent>
          <mc:Choice Requires="wps">
            <w:drawing>
              <wp:anchor distT="0" distB="0" distL="114300" distR="114300" simplePos="0" relativeHeight="251659264" behindDoc="0" locked="0" layoutInCell="1" allowOverlap="1" wp14:anchorId="47027C3B" wp14:editId="4564B3C2">
                <wp:simplePos x="0" y="0"/>
                <wp:positionH relativeFrom="column">
                  <wp:posOffset>622300</wp:posOffset>
                </wp:positionH>
                <wp:positionV relativeFrom="paragraph">
                  <wp:posOffset>159385</wp:posOffset>
                </wp:positionV>
                <wp:extent cx="1555750" cy="914400"/>
                <wp:effectExtent l="0" t="0" r="25400" b="19050"/>
                <wp:wrapNone/>
                <wp:docPr id="1" name="Rectangle 1"/>
                <wp:cNvGraphicFramePr/>
                <a:graphic xmlns:a="http://schemas.openxmlformats.org/drawingml/2006/main">
                  <a:graphicData uri="http://schemas.microsoft.com/office/word/2010/wordprocessingShape">
                    <wps:wsp>
                      <wps:cNvSpPr/>
                      <wps:spPr>
                        <a:xfrm>
                          <a:off x="0" y="0"/>
                          <a:ext cx="1555750" cy="914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6673B" w:rsidRPr="00B10E7A" w:rsidRDefault="0016673B" w:rsidP="0016673B">
                            <w:pPr>
                              <w:jc w:val="center"/>
                              <w:rPr>
                                <w:rFonts w:ascii="Arial Narrow" w:hAnsi="Arial Narrow"/>
                                <w:b/>
                                <w:color w:val="000000" w:themeColor="text1"/>
                                <w:sz w:val="24"/>
                                <w:lang w:val="en-CA"/>
                              </w:rPr>
                            </w:pPr>
                            <w:r w:rsidRPr="00B10E7A">
                              <w:rPr>
                                <w:rFonts w:ascii="Arial Narrow" w:hAnsi="Arial Narrow"/>
                                <w:b/>
                                <w:color w:val="000000" w:themeColor="text1"/>
                                <w:sz w:val="24"/>
                                <w:lang w:val="en-CA"/>
                              </w:rPr>
                              <w:t>Uses of financing</w:t>
                            </w:r>
                          </w:p>
                          <w:p w:rsidR="0016673B" w:rsidRPr="00B10E7A" w:rsidRDefault="0016673B" w:rsidP="0016673B">
                            <w:pPr>
                              <w:jc w:val="center"/>
                              <w:rPr>
                                <w:rFonts w:ascii="Arial Narrow" w:hAnsi="Arial Narrow"/>
                                <w:color w:val="000000" w:themeColor="text1"/>
                                <w:sz w:val="24"/>
                                <w:lang w:val="en-CA"/>
                              </w:rPr>
                            </w:pPr>
                            <w:r w:rsidRPr="00B10E7A">
                              <w:rPr>
                                <w:rFonts w:ascii="Arial Narrow" w:hAnsi="Arial Narrow"/>
                                <w:color w:val="000000" w:themeColor="text1"/>
                                <w:sz w:val="24"/>
                                <w:lang w:val="en-CA"/>
                              </w:rPr>
                              <w:t>(liquidity)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47027C3B" id="Rectangle 1" o:spid="_x0000_s1027" style="position:absolute;margin-left:49pt;margin-top:12.55pt;width:122.5pt;height:1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" filled="f" strokecolor="#1f4d78 [1604]" strokeweight="1pt">
                <v:textbox>
                  <w:txbxContent>
                    <w:p w:rsidR="0016673B" w:rsidRPr="00B10E7A" w:rsidRDefault="0016673B" w:rsidP="0016673B">
                      <w:pPr>
                        <w:jc w:val="center"/>
                        <w:rPr>
                          <w:rFonts w:ascii="Arial Narrow" w:hAnsi="Arial Narrow"/>
                          <w:b/>
                          <w:color w:val="000000" w:themeColor="text1"/>
                          <w:sz w:val="24"/>
                          <w:lang w:val="en-CA"/>
                        </w:rPr>
                      </w:pPr>
                      <w:r w:rsidRPr="00B10E7A">
                        <w:rPr>
                          <w:rFonts w:ascii="Arial Narrow" w:hAnsi="Arial Narrow"/>
                          <w:b/>
                          <w:color w:val="000000" w:themeColor="text1"/>
                          <w:sz w:val="24"/>
                          <w:lang w:val="en-CA"/>
                        </w:rPr>
                        <w:t>Uses of financing</w:t>
                      </w:r>
                    </w:p>
                    <w:p w:rsidR="0016673B" w:rsidRPr="00B10E7A" w:rsidRDefault="0016673B" w:rsidP="0016673B">
                      <w:pPr>
                        <w:jc w:val="center"/>
                        <w:rPr>
                          <w:rFonts w:ascii="Arial Narrow" w:hAnsi="Arial Narrow"/>
                          <w:color w:val="000000" w:themeColor="text1"/>
                          <w:sz w:val="24"/>
                          <w:lang w:val="en-CA"/>
                        </w:rPr>
                      </w:pPr>
                      <w:r w:rsidRPr="00B10E7A">
                        <w:rPr>
                          <w:rFonts w:ascii="Arial Narrow" w:hAnsi="Arial Narrow"/>
                          <w:color w:val="000000" w:themeColor="text1"/>
                          <w:sz w:val="24"/>
                          <w:lang w:val="en-CA"/>
                        </w:rPr>
                        <w:t>(</w:t>
                      </w:r>
                      <w:proofErr w:type="gramStart"/>
                      <w:r w:rsidRPr="00B10E7A">
                        <w:rPr>
                          <w:rFonts w:ascii="Arial Narrow" w:hAnsi="Arial Narrow"/>
                          <w:color w:val="000000" w:themeColor="text1"/>
                          <w:sz w:val="24"/>
                          <w:lang w:val="en-CA"/>
                        </w:rPr>
                        <w:t>liquidity</w:t>
                      </w:r>
                      <w:proofErr w:type="gramEnd"/>
                      <w:r w:rsidRPr="00B10E7A">
                        <w:rPr>
                          <w:rFonts w:ascii="Arial Narrow" w:hAnsi="Arial Narrow"/>
                          <w:color w:val="000000" w:themeColor="text1"/>
                          <w:sz w:val="24"/>
                          <w:lang w:val="en-CA"/>
                        </w:rPr>
                        <w:t>)</w:t>
                      </w:r>
                    </w:p>
                  </w:txbxContent>
                </v:textbox>
              </v:rect>
            </w:pict>
          </mc:Fallback>
        </mc:AlternateContent>
      </w:r>
    </w:p>
    <w:p w:rsidR="0016673B" w:rsidRPr="00B10E7A" w:rsidRDefault="0016673B">
      <w:pPr>
        <w:rPr>
          <w:rFonts w:ascii="Arial Narrow" w:hAnsi="Arial Narrow"/>
          <w:sz w:val="24"/>
          <w:lang w:val="en-CA"/>
        </w:rPr>
      </w:pPr>
    </w:p>
    <w:p w:rsidR="0016673B" w:rsidRPr="00B10E7A" w:rsidRDefault="0016673B" w:rsidP="0016673B">
      <w:pPr>
        <w:rPr>
          <w:rFonts w:ascii="Arial Narrow" w:hAnsi="Arial Narrow"/>
          <w:sz w:val="24"/>
          <w:lang w:val="en-CA"/>
        </w:rPr>
      </w:pPr>
      <w:r w:rsidRPr="00B10E7A">
        <w:rPr>
          <w:rFonts w:ascii="Arial Narrow" w:hAnsi="Arial Narrow"/>
          <w:noProof/>
          <w:sz w:val="24"/>
        </w:rPr>
        <mc:AlternateContent>
          <mc:Choice Requires="wps">
            <w:drawing>
              <wp:anchor distT="45720" distB="45720" distL="114300" distR="114300" simplePos="0" relativeHeight="251663360" behindDoc="0" locked="0" layoutInCell="1" allowOverlap="1" wp14:anchorId="4350E887" wp14:editId="11F54EB9">
                <wp:simplePos x="0" y="0"/>
                <wp:positionH relativeFrom="column">
                  <wp:posOffset>2286000</wp:posOffset>
                </wp:positionH>
                <wp:positionV relativeFrom="paragraph">
                  <wp:posOffset>6985</wp:posOffset>
                </wp:positionV>
                <wp:extent cx="279400" cy="285750"/>
                <wp:effectExtent l="0" t="0" r="635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285750"/>
                        </a:xfrm>
                        <a:prstGeom prst="rect">
                          <a:avLst/>
                        </a:prstGeom>
                        <a:solidFill>
                          <a:srgbClr val="FFFFFF"/>
                        </a:solidFill>
                        <a:ln w="9525">
                          <a:noFill/>
                          <a:miter lim="800000"/>
                          <a:headEnd/>
                          <a:tailEnd/>
                        </a:ln>
                      </wps:spPr>
                      <wps:txbx>
                        <w:txbxContent>
                          <w:p w:rsidR="0016673B" w:rsidRPr="00E80453" w:rsidRDefault="0016673B">
                            <w:pPr>
                              <w:rPr>
                                <w:b/>
                                <w:sz w:val="28"/>
                                <w14:textOutline w14:w="9525" w14:cap="rnd" w14:cmpd="sng" w14:algn="ctr">
                                  <w14:noFill/>
                                  <w14:prstDash w14:val="solid"/>
                                  <w14:bevel/>
                                </w14:textOutline>
                              </w:rPr>
                            </w:pPr>
                            <w:r w:rsidRPr="00E80453">
                              <w:rPr>
                                <w:b/>
                                <w:sz w:val="28"/>
                                <w14:textOutline w14:w="9525" w14:cap="rnd" w14:cmpd="sng" w14:algn="ctr">
                                  <w14:noFill/>
                                  <w14:prstDash w14:val="solid"/>
                                  <w14:bevel/>
                                </w14:textOutli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 o:spid="_x0000_s1028" type="#_x0000_t202" style="position:absolute;margin-left:180pt;margin-top:.55pt;width:22pt;height:2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" stroked="f">
                <v:textbox>
                  <w:txbxContent>
                    <w:p w:rsidR="0016673B" w:rsidRPr="00E80453" w:rsidRDefault="0016673B">
                      <w:pPr>
                        <w:rPr>
                          <w:b/>
                          <w:sz w:val="28"/>
                          <w14:textOutline w14:w="9525" w14:cap="rnd" w14:cmpd="sng" w14:algn="ctr">
                            <w14:noFill/>
                            <w14:prstDash w14:val="solid"/>
                            <w14:bevel/>
                          </w14:textOutline>
                        </w:rPr>
                      </w:pPr>
                      <w:r w:rsidRPr="00E80453">
                        <w:rPr>
                          <w:b/>
                          <w:sz w:val="28"/>
                          <w14:textOutline w14:w="9525" w14:cap="rnd" w14:cmpd="sng" w14:algn="ctr">
                            <w14:noFill/>
                            <w14:prstDash w14:val="solid"/>
                            <w14:bevel/>
                          </w14:textOutline>
                        </w:rPr>
                        <w:t>=</w:t>
                      </w:r>
                    </w:p>
                  </w:txbxContent>
                </v:textbox>
                <w10:wrap type="square"/>
              </v:shape>
            </w:pict>
          </mc:Fallback>
        </mc:AlternateContent>
      </w:r>
    </w:p>
    <w:p w:rsidR="0016673B" w:rsidRPr="00B10E7A" w:rsidRDefault="0016673B">
      <w:pPr>
        <w:rPr>
          <w:rFonts w:ascii="Arial Narrow" w:hAnsi="Arial Narrow"/>
          <w:sz w:val="24"/>
          <w:lang w:val="en-CA"/>
        </w:rPr>
      </w:pPr>
    </w:p>
    <w:p w:rsidR="0016673B" w:rsidRPr="00B10E7A" w:rsidRDefault="0016673B">
      <w:pPr>
        <w:rPr>
          <w:rFonts w:ascii="Arial Narrow" w:hAnsi="Arial Narrow"/>
          <w:sz w:val="24"/>
          <w:lang w:val="en-CA"/>
        </w:rPr>
      </w:pPr>
      <w:r w:rsidRPr="00B10E7A">
        <w:rPr>
          <w:rFonts w:ascii="Arial Narrow" w:hAnsi="Arial Narrow"/>
          <w:noProof/>
          <w:sz w:val="24"/>
        </w:rPr>
        <mc:AlternateContent>
          <mc:Choice Requires="wps">
            <w:drawing>
              <wp:anchor distT="0" distB="0" distL="114300" distR="114300" simplePos="0" relativeHeight="251661312" behindDoc="0" locked="0" layoutInCell="1" allowOverlap="1" wp14:anchorId="0AD9D438" wp14:editId="61AF26FB">
                <wp:simplePos x="0" y="0"/>
                <wp:positionH relativeFrom="column">
                  <wp:posOffset>1974850</wp:posOffset>
                </wp:positionH>
                <wp:positionV relativeFrom="paragraph">
                  <wp:posOffset>13335</wp:posOffset>
                </wp:positionV>
                <wp:extent cx="1009650" cy="292100"/>
                <wp:effectExtent l="0" t="0" r="0" b="0"/>
                <wp:wrapNone/>
                <wp:docPr id="3" name="Rectangle 3"/>
                <wp:cNvGraphicFramePr/>
                <a:graphic xmlns:a="http://schemas.openxmlformats.org/drawingml/2006/main">
                  <a:graphicData uri="http://schemas.microsoft.com/office/word/2010/wordprocessingShape">
                    <wps:wsp>
                      <wps:cNvSpPr/>
                      <wps:spPr>
                        <a:xfrm>
                          <a:off x="0" y="0"/>
                          <a:ext cx="1009650" cy="292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6673B" w:rsidRPr="00B10E7A" w:rsidRDefault="0016673B" w:rsidP="0016673B">
                            <w:pPr>
                              <w:jc w:val="center"/>
                              <w:rPr>
                                <w:rFonts w:ascii="Arial Narrow" w:hAnsi="Arial Narrow"/>
                                <w:color w:val="000000" w:themeColor="text1"/>
                                <w:sz w:val="24"/>
                                <w:lang w:val="en-CA"/>
                              </w:rPr>
                            </w:pPr>
                            <w:r w:rsidRPr="00B10E7A">
                              <w:rPr>
                                <w:rFonts w:ascii="Arial Narrow" w:hAnsi="Arial Narrow"/>
                                <w:color w:val="000000" w:themeColor="text1"/>
                                <w:sz w:val="24"/>
                                <w:lang w:val="en-CA"/>
                              </w:rPr>
                              <w:t>(solvency)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0AD9D438" id="Rectangle 3" o:spid="_x0000_s1029" style="position:absolute;margin-left:155.5pt;margin-top:1.05pt;width:79.5pt;height:2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" filled="f" stroked="f" strokeweight="1pt">
                <v:textbox>
                  <w:txbxContent>
                    <w:p w:rsidR="0016673B" w:rsidRPr="00B10E7A" w:rsidRDefault="0016673B" w:rsidP="0016673B">
                      <w:pPr>
                        <w:jc w:val="center"/>
                        <w:rPr>
                          <w:rFonts w:ascii="Arial Narrow" w:hAnsi="Arial Narrow"/>
                          <w:color w:val="000000" w:themeColor="text1"/>
                          <w:sz w:val="24"/>
                          <w:lang w:val="en-CA"/>
                        </w:rPr>
                      </w:pPr>
                      <w:r w:rsidRPr="00B10E7A">
                        <w:rPr>
                          <w:rFonts w:ascii="Arial Narrow" w:hAnsi="Arial Narrow"/>
                          <w:color w:val="000000" w:themeColor="text1"/>
                          <w:sz w:val="24"/>
                          <w:lang w:val="en-CA"/>
                        </w:rPr>
                        <w:t>(</w:t>
                      </w:r>
                      <w:proofErr w:type="gramStart"/>
                      <w:r w:rsidRPr="00B10E7A">
                        <w:rPr>
                          <w:rFonts w:ascii="Arial Narrow" w:hAnsi="Arial Narrow"/>
                          <w:color w:val="000000" w:themeColor="text1"/>
                          <w:sz w:val="24"/>
                          <w:lang w:val="en-CA"/>
                        </w:rPr>
                        <w:t>solvency</w:t>
                      </w:r>
                      <w:proofErr w:type="gramEnd"/>
                      <w:r w:rsidRPr="00B10E7A">
                        <w:rPr>
                          <w:rFonts w:ascii="Arial Narrow" w:hAnsi="Arial Narrow"/>
                          <w:color w:val="000000" w:themeColor="text1"/>
                          <w:sz w:val="24"/>
                          <w:lang w:val="en-CA"/>
                        </w:rPr>
                        <w:t>)</w:t>
                      </w:r>
                    </w:p>
                  </w:txbxContent>
                </v:textbox>
              </v:rect>
            </w:pict>
          </mc:Fallback>
        </mc:AlternateContent>
      </w:r>
    </w:p>
    <w:p w:rsidR="00BB243D" w:rsidRPr="00B10E7A" w:rsidRDefault="00BB243D">
      <w:pPr>
        <w:rPr>
          <w:rFonts w:ascii="Arial Narrow" w:hAnsi="Arial Narrow"/>
          <w:b/>
          <w:sz w:val="24"/>
          <w:lang w:val="en-CA"/>
        </w:rPr>
      </w:pPr>
      <w:r w:rsidRPr="00B10E7A">
        <w:rPr>
          <w:rFonts w:ascii="Arial Narrow" w:hAnsi="Arial Narrow"/>
          <w:b/>
          <w:sz w:val="24"/>
          <w:lang w:val="en-CA"/>
        </w:rPr>
        <w:t>Usefulness:</w:t>
      </w:r>
    </w:p>
    <w:p w:rsidR="00BB243D" w:rsidRPr="00B10E7A" w:rsidRDefault="00BB243D">
      <w:pPr>
        <w:rPr>
          <w:rFonts w:ascii="Arial Narrow" w:hAnsi="Arial Narrow"/>
          <w:sz w:val="24"/>
          <w:lang w:val="en-CA"/>
        </w:rPr>
      </w:pPr>
      <w:r w:rsidRPr="00B10E7A">
        <w:rPr>
          <w:rFonts w:ascii="Arial Narrow" w:hAnsi="Arial Narrow"/>
          <w:sz w:val="24"/>
          <w:lang w:val="en-CA"/>
        </w:rPr>
        <w:t>-helps to predict amounts, timing, uncertainty of future cash flows</w:t>
      </w:r>
    </w:p>
    <w:p w:rsidR="00BB243D" w:rsidRPr="00B10E7A" w:rsidRDefault="00BB243D" w:rsidP="00BB243D">
      <w:pPr>
        <w:jc w:val="both"/>
        <w:rPr>
          <w:rFonts w:ascii="Arial Narrow" w:hAnsi="Arial Narrow"/>
          <w:sz w:val="24"/>
          <w:lang w:val="en-CA"/>
        </w:rPr>
      </w:pPr>
      <w:r w:rsidRPr="00B10E7A">
        <w:rPr>
          <w:rFonts w:ascii="Arial Narrow" w:hAnsi="Arial Narrow"/>
          <w:sz w:val="24"/>
          <w:lang w:val="en-CA"/>
        </w:rPr>
        <w:t>-allows to compute rates of return on invested assets, business risk, future cash flows =&gt; analyze liquidity, solvency, financial flexibility (and profitability if we also use the statement of comprehensive income)</w:t>
      </w:r>
    </w:p>
    <w:p w:rsidR="00BB243D" w:rsidRPr="00B10E7A" w:rsidRDefault="00BB243D" w:rsidP="00BB243D">
      <w:pPr>
        <w:jc w:val="both"/>
        <w:rPr>
          <w:rFonts w:ascii="Arial Narrow" w:hAnsi="Arial Narrow"/>
          <w:b/>
          <w:sz w:val="24"/>
          <w:lang w:val="en-CA"/>
        </w:rPr>
      </w:pPr>
      <w:r w:rsidRPr="00B10E7A">
        <w:rPr>
          <w:rFonts w:ascii="Arial Narrow" w:hAnsi="Arial Narrow"/>
          <w:b/>
          <w:sz w:val="24"/>
          <w:lang w:val="en-CA"/>
        </w:rPr>
        <w:t>Limitations:</w:t>
      </w:r>
    </w:p>
    <w:p w:rsidR="00BB243D" w:rsidRPr="00B10E7A" w:rsidRDefault="00BB243D">
      <w:pPr>
        <w:rPr>
          <w:rFonts w:ascii="Arial Narrow" w:hAnsi="Arial Narrow"/>
          <w:sz w:val="24"/>
          <w:lang w:val="en-CA"/>
        </w:rPr>
      </w:pPr>
      <w:r w:rsidRPr="00B10E7A">
        <w:rPr>
          <w:rFonts w:ascii="Arial Narrow" w:hAnsi="Arial Narrow"/>
          <w:sz w:val="24"/>
          <w:lang w:val="en-CA"/>
        </w:rPr>
        <w:t>-many assets and liabilities stated at historical cost (but remember debate on HC vs. FV with respect to relevance and faithful representation!)</w:t>
      </w:r>
    </w:p>
    <w:p w:rsidR="00BB243D" w:rsidRPr="00B10E7A" w:rsidRDefault="00BB243D">
      <w:pPr>
        <w:rPr>
          <w:rFonts w:ascii="Arial Narrow" w:hAnsi="Arial Narrow"/>
          <w:sz w:val="24"/>
          <w:lang w:val="en-CA"/>
        </w:rPr>
      </w:pPr>
      <w:r w:rsidRPr="00B10E7A">
        <w:rPr>
          <w:rFonts w:ascii="Arial Narrow" w:hAnsi="Arial Narrow"/>
          <w:sz w:val="24"/>
          <w:lang w:val="en-CA"/>
        </w:rPr>
        <w:t>-judgments and estimates used to determine many of the items reported</w:t>
      </w:r>
    </w:p>
    <w:p w:rsidR="00BB243D" w:rsidRPr="00B10E7A" w:rsidRDefault="00BB243D">
      <w:pPr>
        <w:rPr>
          <w:rFonts w:ascii="Arial Narrow" w:hAnsi="Arial Narrow"/>
          <w:sz w:val="24"/>
          <w:lang w:val="en-CA"/>
        </w:rPr>
      </w:pPr>
      <w:r w:rsidRPr="00B10E7A">
        <w:rPr>
          <w:rFonts w:ascii="Arial Narrow" w:hAnsi="Arial Narrow"/>
          <w:sz w:val="24"/>
          <w:lang w:val="en-CA"/>
        </w:rPr>
        <w:t xml:space="preserve">-leaves out many items that cannot be recorded objectively or measured reliably (e.g., off-balance sheet items such as operating leases) </w:t>
      </w:r>
      <w:r w:rsidRPr="00B10E7A">
        <w:rPr>
          <w:rFonts w:ascii="Arial Narrow" w:hAnsi="Arial Narrow"/>
          <w:sz w:val="24"/>
          <w:lang w:val="en-CA"/>
        </w:rPr>
        <w:sym w:font="Wingdings" w:char="F0E0"/>
      </w:r>
      <w:r w:rsidRPr="00B10E7A">
        <w:rPr>
          <w:rFonts w:ascii="Arial Narrow" w:hAnsi="Arial Narrow"/>
          <w:sz w:val="24"/>
          <w:lang w:val="en-CA"/>
        </w:rPr>
        <w:t xml:space="preserve"> some of these items could reveal additional risk or could represent unrecognized assets and liabilities that should in fact be recognized</w:t>
      </w:r>
    </w:p>
    <w:p w:rsidR="00BB243D" w:rsidRPr="00B10E7A" w:rsidRDefault="00BB243D">
      <w:pPr>
        <w:rPr>
          <w:rFonts w:ascii="Arial Narrow" w:hAnsi="Arial Narrow"/>
          <w:b/>
          <w:sz w:val="24"/>
          <w:lang w:val="en-CA"/>
        </w:rPr>
      </w:pPr>
      <w:r w:rsidRPr="00B10E7A">
        <w:rPr>
          <w:rFonts w:ascii="Arial Narrow" w:hAnsi="Arial Narrow"/>
          <w:b/>
          <w:sz w:val="24"/>
          <w:lang w:val="en-CA"/>
        </w:rPr>
        <w:t>Information to be presented (IAS 1 par. 54-80A)</w:t>
      </w:r>
      <w:r w:rsidR="00882922" w:rsidRPr="00B10E7A">
        <w:rPr>
          <w:rFonts w:ascii="Arial Narrow" w:hAnsi="Arial Narrow"/>
          <w:b/>
          <w:sz w:val="24"/>
          <w:lang w:val="en-CA"/>
        </w:rPr>
        <w:t xml:space="preserve"> – presentation is again very permissive</w:t>
      </w:r>
    </w:p>
    <w:p w:rsidR="00BB243D" w:rsidRPr="00B10E7A" w:rsidRDefault="00BB243D" w:rsidP="00BB243D">
      <w:pPr>
        <w:rPr>
          <w:rFonts w:ascii="Arial Narrow" w:hAnsi="Arial Narrow"/>
          <w:sz w:val="24"/>
          <w:lang w:val="en-CA"/>
        </w:rPr>
      </w:pPr>
      <w:r w:rsidRPr="00B10E7A">
        <w:rPr>
          <w:rFonts w:ascii="Arial Narrow" w:hAnsi="Arial Narrow"/>
          <w:sz w:val="24"/>
          <w:lang w:val="en-CA"/>
        </w:rPr>
        <w:t>-list of items that are sufficiently different in nature to warrant separate presentation</w:t>
      </w:r>
    </w:p>
    <w:p w:rsidR="00BB243D" w:rsidRPr="00B10E7A" w:rsidRDefault="00BB243D" w:rsidP="00BB243D">
      <w:pPr>
        <w:rPr>
          <w:rFonts w:ascii="Arial Narrow" w:hAnsi="Arial Narrow"/>
          <w:sz w:val="24"/>
          <w:lang w:val="en-CA"/>
        </w:rPr>
      </w:pPr>
      <w:r w:rsidRPr="00B10E7A">
        <w:rPr>
          <w:rFonts w:ascii="Arial Narrow" w:hAnsi="Arial Narrow"/>
          <w:sz w:val="24"/>
          <w:lang w:val="en-CA"/>
        </w:rPr>
        <w:t>-companies can add other line items when presentation is relevant to understanding the situation</w:t>
      </w:r>
    </w:p>
    <w:p w:rsidR="00BB243D" w:rsidRPr="00B10E7A" w:rsidRDefault="00BB243D" w:rsidP="00BB243D">
      <w:pPr>
        <w:rPr>
          <w:rFonts w:ascii="Arial Narrow" w:hAnsi="Arial Narrow"/>
          <w:sz w:val="24"/>
          <w:lang w:val="en-CA"/>
        </w:rPr>
      </w:pPr>
      <w:r w:rsidRPr="00B10E7A">
        <w:rPr>
          <w:rFonts w:ascii="Arial Narrow" w:hAnsi="Arial Narrow"/>
          <w:sz w:val="24"/>
          <w:lang w:val="en-CA"/>
        </w:rPr>
        <w:t>-</w:t>
      </w:r>
      <w:r w:rsidR="00882922" w:rsidRPr="00B10E7A">
        <w:rPr>
          <w:rFonts w:ascii="Arial Narrow" w:hAnsi="Arial Narrow"/>
          <w:sz w:val="24"/>
          <w:lang w:val="en-CA"/>
        </w:rPr>
        <w:t xml:space="preserve">no specific order required </w:t>
      </w:r>
      <w:r w:rsidR="00882922" w:rsidRPr="00B10E7A">
        <w:rPr>
          <w:rFonts w:ascii="Arial Narrow" w:hAnsi="Arial Narrow"/>
          <w:sz w:val="24"/>
          <w:lang w:val="en-CA"/>
        </w:rPr>
        <w:sym w:font="Wingdings" w:char="F0E0"/>
      </w:r>
      <w:r w:rsidR="00882922" w:rsidRPr="00B10E7A">
        <w:rPr>
          <w:rFonts w:ascii="Arial Narrow" w:hAnsi="Arial Narrow"/>
          <w:sz w:val="24"/>
          <w:lang w:val="en-CA"/>
        </w:rPr>
        <w:t xml:space="preserve"> relevance</w:t>
      </w:r>
    </w:p>
    <w:p w:rsidR="00882922" w:rsidRPr="00B10E7A" w:rsidRDefault="001C6B3B" w:rsidP="00BB243D">
      <w:pPr>
        <w:rPr>
          <w:rFonts w:ascii="Arial Narrow" w:hAnsi="Arial Narrow"/>
          <w:b/>
          <w:sz w:val="24"/>
          <w:lang w:val="en-CA"/>
        </w:rPr>
      </w:pPr>
      <w:r w:rsidRPr="00B10E7A">
        <w:rPr>
          <w:rFonts w:ascii="Arial Narrow" w:hAnsi="Arial Narrow"/>
          <w:b/>
          <w:sz w:val="24"/>
          <w:lang w:val="en-CA"/>
        </w:rPr>
        <w:t xml:space="preserve">Classifications: </w:t>
      </w:r>
      <w:r w:rsidR="00882922" w:rsidRPr="00B10E7A">
        <w:rPr>
          <w:rFonts w:ascii="Arial Narrow" w:hAnsi="Arial Narrow"/>
          <w:b/>
          <w:sz w:val="24"/>
          <w:lang w:val="en-CA"/>
        </w:rPr>
        <w:t>Current/Non-current distinction vs. Liquidity</w:t>
      </w:r>
    </w:p>
    <w:p w:rsidR="00BB243D" w:rsidRPr="00B10E7A" w:rsidRDefault="001C6B3B">
      <w:pPr>
        <w:rPr>
          <w:rFonts w:ascii="Arial Narrow" w:hAnsi="Arial Narrow"/>
          <w:sz w:val="24"/>
          <w:lang w:val="en-CA"/>
        </w:rPr>
      </w:pPr>
      <w:r w:rsidRPr="00B10E7A">
        <w:rPr>
          <w:rFonts w:ascii="Arial Narrow" w:hAnsi="Arial Narrow"/>
          <w:sz w:val="24"/>
          <w:lang w:val="en-CA"/>
        </w:rPr>
        <w:t>-current: &lt;12 months or within the next operating cycle</w:t>
      </w:r>
    </w:p>
    <w:p w:rsidR="001C6B3B" w:rsidRPr="00B10E7A" w:rsidRDefault="001C6B3B">
      <w:pPr>
        <w:rPr>
          <w:rFonts w:ascii="Arial Narrow" w:hAnsi="Arial Narrow"/>
          <w:sz w:val="24"/>
          <w:lang w:val="en-CA"/>
        </w:rPr>
      </w:pPr>
      <w:r w:rsidRPr="00B10E7A">
        <w:rPr>
          <w:rFonts w:ascii="Arial Narrow" w:hAnsi="Arial Narrow"/>
          <w:sz w:val="24"/>
          <w:lang w:val="en-CA"/>
        </w:rPr>
        <w:t>-non-current: &gt;12 months or after the next operating cycle</w:t>
      </w:r>
    </w:p>
    <w:p w:rsidR="001C6B3B" w:rsidRPr="00B10E7A" w:rsidRDefault="001C6B3B">
      <w:pPr>
        <w:rPr>
          <w:rFonts w:ascii="Arial Narrow" w:hAnsi="Arial Narrow"/>
          <w:sz w:val="24"/>
          <w:lang w:val="en-CA"/>
        </w:rPr>
      </w:pPr>
      <w:r w:rsidRPr="00B10E7A">
        <w:rPr>
          <w:rFonts w:ascii="Arial Narrow" w:hAnsi="Arial Narrow"/>
          <w:sz w:val="24"/>
          <w:lang w:val="en-CA"/>
        </w:rPr>
        <w:t xml:space="preserve">-separate classifications current/non-current, except when </w:t>
      </w:r>
      <w:r w:rsidR="003F752F" w:rsidRPr="00B10E7A">
        <w:rPr>
          <w:rFonts w:ascii="Arial Narrow" w:hAnsi="Arial Narrow"/>
          <w:sz w:val="24"/>
          <w:lang w:val="en-CA"/>
        </w:rPr>
        <w:t>presentation based on liquidity provides information that is reliable and more relevant (i.e., order of liquidity)</w:t>
      </w:r>
    </w:p>
    <w:p w:rsidR="003F752F" w:rsidRPr="00B10E7A" w:rsidRDefault="003F752F">
      <w:pPr>
        <w:rPr>
          <w:rFonts w:ascii="Arial Narrow" w:hAnsi="Arial Narrow"/>
          <w:sz w:val="24"/>
          <w:lang w:val="en-CA"/>
        </w:rPr>
      </w:pPr>
      <w:r w:rsidRPr="00B10E7A">
        <w:rPr>
          <w:rFonts w:ascii="Arial Narrow" w:hAnsi="Arial Narrow"/>
          <w:sz w:val="24"/>
          <w:lang w:val="en-CA"/>
        </w:rPr>
        <w:t>-could also have mixed basis of presentation</w:t>
      </w:r>
    </w:p>
    <w:p w:rsidR="003F752F" w:rsidRPr="00B10E7A" w:rsidRDefault="003F752F">
      <w:pPr>
        <w:rPr>
          <w:rFonts w:ascii="Arial Narrow" w:hAnsi="Arial Narrow"/>
          <w:sz w:val="24"/>
          <w:lang w:val="en-CA"/>
        </w:rPr>
      </w:pPr>
      <w:r w:rsidRPr="00B10E7A">
        <w:rPr>
          <w:rFonts w:ascii="Arial Narrow" w:hAnsi="Arial Narrow"/>
          <w:sz w:val="24"/>
          <w:lang w:val="en-CA"/>
        </w:rPr>
        <w:lastRenderedPageBreak/>
        <w:t>-information about expected dates of realisation of assets and liabilities is useful in assessing the liquidity and solvency of an entity</w:t>
      </w:r>
    </w:p>
    <w:p w:rsidR="00482BDC" w:rsidRPr="00B10E7A" w:rsidRDefault="00482BDC">
      <w:pPr>
        <w:rPr>
          <w:rFonts w:ascii="Arial Narrow" w:hAnsi="Arial Narrow"/>
          <w:sz w:val="24"/>
          <w:lang w:val="en-CA"/>
        </w:rPr>
      </w:pPr>
      <w:r w:rsidRPr="00B10E7A">
        <w:rPr>
          <w:rFonts w:ascii="Arial Narrow" w:hAnsi="Arial Narrow"/>
          <w:sz w:val="24"/>
          <w:lang w:val="en-CA"/>
        </w:rPr>
        <w:t xml:space="preserve">Classify as </w:t>
      </w:r>
      <w:r w:rsidRPr="00B10E7A">
        <w:rPr>
          <w:rFonts w:ascii="Arial Narrow" w:hAnsi="Arial Narrow"/>
          <w:b/>
          <w:sz w:val="24"/>
          <w:lang w:val="en-CA"/>
        </w:rPr>
        <w:t>current assets</w:t>
      </w:r>
      <w:r w:rsidRPr="00B10E7A">
        <w:rPr>
          <w:rFonts w:ascii="Arial Narrow" w:hAnsi="Arial Narrow"/>
          <w:sz w:val="24"/>
          <w:lang w:val="en-CA"/>
        </w:rPr>
        <w:t xml:space="preserve"> if one of the following:</w:t>
      </w:r>
    </w:p>
    <w:p w:rsidR="00482BDC" w:rsidRPr="00B10E7A" w:rsidRDefault="00482BDC" w:rsidP="00482BDC">
      <w:pPr>
        <w:pStyle w:val="ListParagraph"/>
        <w:numPr>
          <w:ilvl w:val="0"/>
          <w:numId w:val="2"/>
        </w:numPr>
        <w:rPr>
          <w:rFonts w:ascii="Arial Narrow" w:hAnsi="Arial Narrow"/>
          <w:sz w:val="24"/>
          <w:lang w:val="en-CA"/>
        </w:rPr>
      </w:pPr>
      <w:r w:rsidRPr="00B10E7A">
        <w:rPr>
          <w:rFonts w:ascii="Arial Narrow" w:hAnsi="Arial Narrow"/>
          <w:sz w:val="24"/>
          <w:lang w:val="en-CA"/>
        </w:rPr>
        <w:t>Realise/sell/consume the asset in the normal operating cycle</w:t>
      </w:r>
    </w:p>
    <w:p w:rsidR="00482BDC" w:rsidRPr="00B10E7A" w:rsidRDefault="00482BDC" w:rsidP="00482BDC">
      <w:pPr>
        <w:pStyle w:val="ListParagraph"/>
        <w:numPr>
          <w:ilvl w:val="0"/>
          <w:numId w:val="2"/>
        </w:numPr>
        <w:rPr>
          <w:rFonts w:ascii="Arial Narrow" w:hAnsi="Arial Narrow"/>
          <w:sz w:val="24"/>
          <w:lang w:val="en-CA"/>
        </w:rPr>
      </w:pPr>
      <w:r w:rsidRPr="00B10E7A">
        <w:rPr>
          <w:rFonts w:ascii="Arial Narrow" w:hAnsi="Arial Narrow"/>
          <w:sz w:val="24"/>
          <w:lang w:val="en-CA"/>
        </w:rPr>
        <w:t>Hold for trading</w:t>
      </w:r>
    </w:p>
    <w:p w:rsidR="00482BDC" w:rsidRPr="00B10E7A" w:rsidRDefault="00482BDC" w:rsidP="00482BDC">
      <w:pPr>
        <w:pStyle w:val="ListParagraph"/>
        <w:numPr>
          <w:ilvl w:val="0"/>
          <w:numId w:val="2"/>
        </w:numPr>
        <w:rPr>
          <w:rFonts w:ascii="Arial Narrow" w:hAnsi="Arial Narrow"/>
          <w:sz w:val="24"/>
          <w:lang w:val="en-CA"/>
        </w:rPr>
      </w:pPr>
      <w:r w:rsidRPr="00B10E7A">
        <w:rPr>
          <w:rFonts w:ascii="Arial Narrow" w:hAnsi="Arial Narrow"/>
          <w:sz w:val="24"/>
          <w:lang w:val="en-CA"/>
        </w:rPr>
        <w:t xml:space="preserve">Realise within 12 months </w:t>
      </w:r>
    </w:p>
    <w:p w:rsidR="00482BDC" w:rsidRPr="00B10E7A" w:rsidRDefault="00482BDC" w:rsidP="00482BDC">
      <w:pPr>
        <w:pStyle w:val="ListParagraph"/>
        <w:numPr>
          <w:ilvl w:val="0"/>
          <w:numId w:val="2"/>
        </w:numPr>
        <w:rPr>
          <w:rFonts w:ascii="Arial Narrow" w:hAnsi="Arial Narrow"/>
          <w:sz w:val="24"/>
          <w:lang w:val="en-CA"/>
        </w:rPr>
      </w:pPr>
      <w:r w:rsidRPr="00B10E7A">
        <w:rPr>
          <w:rFonts w:ascii="Arial Narrow" w:hAnsi="Arial Narrow"/>
          <w:sz w:val="24"/>
          <w:lang w:val="en-CA"/>
        </w:rPr>
        <w:t>Cash and cash equivalents, unless restricted</w:t>
      </w:r>
    </w:p>
    <w:p w:rsidR="00482BDC" w:rsidRPr="00B10E7A" w:rsidRDefault="00482BDC" w:rsidP="00482BDC">
      <w:pPr>
        <w:rPr>
          <w:rFonts w:ascii="Arial Narrow" w:hAnsi="Arial Narrow"/>
          <w:sz w:val="24"/>
          <w:lang w:val="en-CA"/>
        </w:rPr>
      </w:pPr>
      <w:r w:rsidRPr="00B10E7A">
        <w:rPr>
          <w:rFonts w:ascii="Arial Narrow" w:hAnsi="Arial Narrow"/>
          <w:sz w:val="24"/>
          <w:lang w:val="en-CA"/>
        </w:rPr>
        <w:t xml:space="preserve">Classify as </w:t>
      </w:r>
      <w:r w:rsidRPr="00B10E7A">
        <w:rPr>
          <w:rFonts w:ascii="Arial Narrow" w:hAnsi="Arial Narrow"/>
          <w:b/>
          <w:sz w:val="24"/>
          <w:lang w:val="en-CA"/>
        </w:rPr>
        <w:t>non-current assets</w:t>
      </w:r>
      <w:r w:rsidRPr="00B10E7A">
        <w:rPr>
          <w:rFonts w:ascii="Arial Narrow" w:hAnsi="Arial Narrow"/>
          <w:sz w:val="24"/>
          <w:lang w:val="en-CA"/>
        </w:rPr>
        <w:t xml:space="preserve"> – all others (i.e., tangible, intangible, financial assets of a long-term nature)</w:t>
      </w:r>
    </w:p>
    <w:p w:rsidR="00482BDC" w:rsidRPr="00B10E7A" w:rsidRDefault="00482BDC" w:rsidP="00482BDC">
      <w:pPr>
        <w:rPr>
          <w:rFonts w:ascii="Arial Narrow" w:hAnsi="Arial Narrow"/>
          <w:sz w:val="24"/>
          <w:lang w:val="en-CA"/>
        </w:rPr>
      </w:pPr>
      <w:r w:rsidRPr="00B10E7A">
        <w:rPr>
          <w:rFonts w:ascii="Arial Narrow" w:hAnsi="Arial Narrow"/>
          <w:sz w:val="24"/>
          <w:lang w:val="en-CA"/>
        </w:rPr>
        <w:t xml:space="preserve">Classify as </w:t>
      </w:r>
      <w:r w:rsidRPr="00B10E7A">
        <w:rPr>
          <w:rFonts w:ascii="Arial Narrow" w:hAnsi="Arial Narrow"/>
          <w:b/>
          <w:sz w:val="24"/>
          <w:lang w:val="en-CA"/>
        </w:rPr>
        <w:t>current liabilities</w:t>
      </w:r>
      <w:r w:rsidRPr="00B10E7A">
        <w:rPr>
          <w:rFonts w:ascii="Arial Narrow" w:hAnsi="Arial Narrow"/>
          <w:sz w:val="24"/>
          <w:lang w:val="en-CA"/>
        </w:rPr>
        <w:t xml:space="preserve"> if one of the following:</w:t>
      </w:r>
    </w:p>
    <w:p w:rsidR="00482BDC" w:rsidRPr="00B10E7A" w:rsidRDefault="00482BDC" w:rsidP="00482BDC">
      <w:pPr>
        <w:pStyle w:val="ListParagraph"/>
        <w:numPr>
          <w:ilvl w:val="0"/>
          <w:numId w:val="2"/>
        </w:numPr>
        <w:rPr>
          <w:rFonts w:ascii="Arial Narrow" w:hAnsi="Arial Narrow"/>
          <w:sz w:val="24"/>
          <w:lang w:val="en-CA"/>
        </w:rPr>
      </w:pPr>
      <w:r w:rsidRPr="00B10E7A">
        <w:rPr>
          <w:rFonts w:ascii="Arial Narrow" w:hAnsi="Arial Narrow"/>
          <w:sz w:val="24"/>
          <w:lang w:val="en-CA"/>
        </w:rPr>
        <w:t>Settle the liability in the normal operating cycle</w:t>
      </w:r>
    </w:p>
    <w:p w:rsidR="00482BDC" w:rsidRPr="00B10E7A" w:rsidRDefault="00482BDC" w:rsidP="00482BDC">
      <w:pPr>
        <w:pStyle w:val="ListParagraph"/>
        <w:numPr>
          <w:ilvl w:val="0"/>
          <w:numId w:val="2"/>
        </w:numPr>
        <w:rPr>
          <w:rFonts w:ascii="Arial Narrow" w:hAnsi="Arial Narrow"/>
          <w:sz w:val="24"/>
          <w:lang w:val="en-CA"/>
        </w:rPr>
      </w:pPr>
      <w:r w:rsidRPr="00B10E7A">
        <w:rPr>
          <w:rFonts w:ascii="Arial Narrow" w:hAnsi="Arial Narrow"/>
          <w:sz w:val="24"/>
          <w:lang w:val="en-CA"/>
        </w:rPr>
        <w:t>Hold for trading</w:t>
      </w:r>
    </w:p>
    <w:p w:rsidR="00482BDC" w:rsidRPr="00B10E7A" w:rsidRDefault="00482BDC" w:rsidP="00482BDC">
      <w:pPr>
        <w:pStyle w:val="ListParagraph"/>
        <w:numPr>
          <w:ilvl w:val="0"/>
          <w:numId w:val="2"/>
        </w:numPr>
        <w:rPr>
          <w:rFonts w:ascii="Arial Narrow" w:hAnsi="Arial Narrow"/>
          <w:sz w:val="24"/>
          <w:lang w:val="en-CA"/>
        </w:rPr>
      </w:pPr>
      <w:r w:rsidRPr="00B10E7A">
        <w:rPr>
          <w:rFonts w:ascii="Arial Narrow" w:hAnsi="Arial Narrow"/>
          <w:sz w:val="24"/>
          <w:lang w:val="en-CA"/>
        </w:rPr>
        <w:t>Due to be settled within 12 months</w:t>
      </w:r>
    </w:p>
    <w:p w:rsidR="00482BDC" w:rsidRPr="00B10E7A" w:rsidRDefault="00482BDC" w:rsidP="00482BDC">
      <w:pPr>
        <w:pStyle w:val="ListParagraph"/>
        <w:numPr>
          <w:ilvl w:val="0"/>
          <w:numId w:val="2"/>
        </w:numPr>
        <w:rPr>
          <w:rFonts w:ascii="Arial Narrow" w:hAnsi="Arial Narrow"/>
          <w:sz w:val="24"/>
          <w:lang w:val="en-CA"/>
        </w:rPr>
      </w:pPr>
      <w:r w:rsidRPr="00B10E7A">
        <w:rPr>
          <w:rFonts w:ascii="Arial Narrow" w:hAnsi="Arial Narrow"/>
          <w:sz w:val="24"/>
          <w:lang w:val="en-CA"/>
        </w:rPr>
        <w:t>No right to defer settlement for at least 12 months</w:t>
      </w:r>
    </w:p>
    <w:p w:rsidR="00482BDC" w:rsidRPr="00B10E7A" w:rsidRDefault="00482BDC" w:rsidP="00F32F45">
      <w:pPr>
        <w:jc w:val="both"/>
        <w:rPr>
          <w:rFonts w:ascii="Arial Narrow" w:hAnsi="Arial Narrow"/>
          <w:sz w:val="24"/>
          <w:lang w:val="en-CA"/>
        </w:rPr>
      </w:pPr>
      <w:r w:rsidRPr="00B10E7A">
        <w:rPr>
          <w:rFonts w:ascii="Arial Narrow" w:hAnsi="Arial Narrow"/>
          <w:sz w:val="24"/>
          <w:lang w:val="en-CA"/>
        </w:rPr>
        <w:t xml:space="preserve">Classify as </w:t>
      </w:r>
      <w:r w:rsidRPr="00B10E7A">
        <w:rPr>
          <w:rFonts w:ascii="Arial Narrow" w:hAnsi="Arial Narrow"/>
          <w:b/>
          <w:sz w:val="24"/>
          <w:lang w:val="en-CA"/>
        </w:rPr>
        <w:t>non-current liabilities</w:t>
      </w:r>
      <w:r w:rsidRPr="00B10E7A">
        <w:rPr>
          <w:rFonts w:ascii="Arial Narrow" w:hAnsi="Arial Narrow"/>
          <w:sz w:val="24"/>
          <w:lang w:val="en-CA"/>
        </w:rPr>
        <w:t xml:space="preserve"> – all others</w:t>
      </w:r>
      <w:r w:rsidR="00F32F45" w:rsidRPr="00B10E7A">
        <w:rPr>
          <w:rFonts w:ascii="Arial Narrow" w:hAnsi="Arial Narrow"/>
          <w:sz w:val="24"/>
          <w:lang w:val="en-CA"/>
        </w:rPr>
        <w:t xml:space="preserve"> (i.e., long-term); portion due within the next year is a current liability</w:t>
      </w:r>
    </w:p>
    <w:p w:rsidR="00B61D10" w:rsidRPr="00B10E7A" w:rsidRDefault="00B61D10" w:rsidP="00F32F45">
      <w:pPr>
        <w:jc w:val="both"/>
        <w:rPr>
          <w:rFonts w:ascii="Arial Narrow" w:hAnsi="Arial Narrow"/>
          <w:sz w:val="24"/>
          <w:lang w:val="en-CA"/>
        </w:rPr>
      </w:pPr>
    </w:p>
    <w:p w:rsidR="00B61D10" w:rsidRPr="00B10E7A" w:rsidRDefault="00B61D10" w:rsidP="00F32F45">
      <w:pPr>
        <w:jc w:val="both"/>
        <w:rPr>
          <w:rFonts w:ascii="Arial Narrow" w:hAnsi="Arial Narrow"/>
          <w:b/>
          <w:sz w:val="24"/>
          <w:lang w:val="en-CA"/>
        </w:rPr>
      </w:pPr>
      <w:r w:rsidRPr="00B10E7A">
        <w:rPr>
          <w:rFonts w:ascii="Arial Narrow" w:hAnsi="Arial Narrow"/>
          <w:b/>
          <w:sz w:val="24"/>
          <w:lang w:val="en-CA"/>
        </w:rPr>
        <w:t>Usual/simplified presentation</w:t>
      </w:r>
    </w:p>
    <w:p w:rsidR="00B61D10" w:rsidRPr="00B10E7A" w:rsidRDefault="006F50D5" w:rsidP="00F32F45">
      <w:pPr>
        <w:jc w:val="both"/>
        <w:rPr>
          <w:rFonts w:ascii="Arial Narrow" w:hAnsi="Arial Narrow"/>
          <w:sz w:val="24"/>
          <w:lang w:val="en-CA"/>
        </w:rPr>
      </w:pPr>
      <w:r w:rsidRPr="00B10E7A">
        <w:rPr>
          <w:rFonts w:ascii="Arial Narrow" w:hAnsi="Arial Narrow"/>
          <w:noProof/>
          <w:sz w:val="24"/>
        </w:rPr>
        <w:drawing>
          <wp:inline distT="0" distB="0" distL="0" distR="0" wp14:anchorId="177765B2" wp14:editId="5A851077">
            <wp:extent cx="5986044" cy="335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4650" cy="3363221"/>
                    </a:xfrm>
                    <a:prstGeom prst="rect">
                      <a:avLst/>
                    </a:prstGeom>
                    <a:noFill/>
                  </pic:spPr>
                </pic:pic>
              </a:graphicData>
            </a:graphic>
          </wp:inline>
        </w:drawing>
      </w:r>
    </w:p>
    <w:p w:rsidR="006F50D5" w:rsidRPr="00B10E7A" w:rsidRDefault="006F50D5">
      <w:pPr>
        <w:rPr>
          <w:rFonts w:ascii="Arial Narrow" w:hAnsi="Arial Narrow"/>
          <w:b/>
          <w:sz w:val="24"/>
          <w:lang w:val="en-CA"/>
        </w:rPr>
      </w:pPr>
      <w:r w:rsidRPr="00B10E7A">
        <w:rPr>
          <w:rFonts w:ascii="Arial Narrow" w:hAnsi="Arial Narrow"/>
          <w:b/>
          <w:sz w:val="24"/>
          <w:lang w:val="en-CA"/>
        </w:rPr>
        <w:br w:type="page"/>
      </w:r>
    </w:p>
    <w:p w:rsidR="00517021" w:rsidRPr="00B10E7A" w:rsidRDefault="006F50D5">
      <w:pPr>
        <w:rPr>
          <w:rFonts w:ascii="Arial Narrow" w:hAnsi="Arial Narrow"/>
          <w:b/>
          <w:sz w:val="24"/>
          <w:lang w:val="en-CA"/>
        </w:rPr>
      </w:pPr>
      <w:r w:rsidRPr="00B10E7A">
        <w:rPr>
          <w:rFonts w:ascii="Arial Narrow" w:hAnsi="Arial Narrow"/>
          <w:b/>
          <w:sz w:val="24"/>
          <w:lang w:val="en-CA"/>
        </w:rPr>
        <w:lastRenderedPageBreak/>
        <w:t>Real-world example – LVMH Consolidated balance sheet for the year ending December 31</w:t>
      </w:r>
      <w:r w:rsidRPr="00B10E7A">
        <w:rPr>
          <w:rFonts w:ascii="Arial Narrow" w:hAnsi="Arial Narrow"/>
          <w:b/>
          <w:sz w:val="24"/>
          <w:vertAlign w:val="superscript"/>
          <w:lang w:val="en-CA"/>
        </w:rPr>
        <w:t>st</w:t>
      </w:r>
      <w:r w:rsidRPr="00B10E7A">
        <w:rPr>
          <w:rFonts w:ascii="Arial Narrow" w:hAnsi="Arial Narrow"/>
          <w:b/>
          <w:sz w:val="24"/>
          <w:lang w:val="en-CA"/>
        </w:rPr>
        <w:t>, 2012</w:t>
      </w:r>
    </w:p>
    <w:p w:rsidR="00195BEA" w:rsidRPr="00B10E7A" w:rsidRDefault="00195BEA">
      <w:pPr>
        <w:rPr>
          <w:rFonts w:ascii="Arial Narrow" w:hAnsi="Arial Narrow"/>
          <w:b/>
          <w:sz w:val="24"/>
          <w:lang w:val="en-CA"/>
        </w:rPr>
      </w:pPr>
      <w:r w:rsidRPr="00B10E7A">
        <w:rPr>
          <w:rFonts w:ascii="Arial Narrow" w:hAnsi="Arial Narrow"/>
          <w:b/>
          <w:sz w:val="24"/>
          <w:lang w:val="en-CA"/>
        </w:rPr>
        <w:object w:dxaOrig="9135" w:dyaOrig="11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5pt;height:595.35pt" o:ole="">
            <v:imagedata r:id="rId9" o:title=""/>
          </v:shape>
          <o:OLEObject Type="Embed" ProgID="AcroExch.Document.11" ShapeID="_x0000_i1025" DrawAspect="Content" ObjectID="_1378373800" r:id="rId10"/>
        </w:object>
      </w:r>
    </w:p>
    <w:p w:rsidR="00195BEA" w:rsidRPr="00B10E7A" w:rsidRDefault="00195BEA">
      <w:pPr>
        <w:rPr>
          <w:rFonts w:ascii="Arial Narrow" w:hAnsi="Arial Narrow"/>
          <w:b/>
          <w:sz w:val="24"/>
          <w:lang w:val="en-CA"/>
        </w:rPr>
      </w:pPr>
      <w:r w:rsidRPr="00B10E7A">
        <w:rPr>
          <w:rFonts w:ascii="Arial Narrow" w:hAnsi="Arial Narrow"/>
          <w:b/>
          <w:sz w:val="24"/>
          <w:lang w:val="en-CA"/>
        </w:rPr>
        <w:lastRenderedPageBreak/>
        <w:t>Cash</w:t>
      </w:r>
      <w:r w:rsidR="004850A2" w:rsidRPr="00B10E7A">
        <w:rPr>
          <w:rFonts w:ascii="Arial Narrow" w:hAnsi="Arial Narrow"/>
          <w:b/>
          <w:sz w:val="24"/>
          <w:lang w:val="en-CA"/>
        </w:rPr>
        <w:t xml:space="preserve"> and cash equivalents</w:t>
      </w:r>
    </w:p>
    <w:p w:rsidR="00195BEA" w:rsidRPr="00B10E7A" w:rsidRDefault="00195BEA">
      <w:pPr>
        <w:rPr>
          <w:rFonts w:ascii="Arial Narrow" w:hAnsi="Arial Narrow"/>
          <w:sz w:val="24"/>
          <w:lang w:val="en-CA"/>
        </w:rPr>
      </w:pPr>
      <w:r w:rsidRPr="00B10E7A">
        <w:rPr>
          <w:rFonts w:ascii="Arial Narrow" w:hAnsi="Arial Narrow"/>
          <w:sz w:val="24"/>
          <w:lang w:val="en-CA"/>
        </w:rPr>
        <w:t>-cash equivalents – demand deposits, short-term low-risk liquid investments convertible to a known cash amount</w:t>
      </w:r>
    </w:p>
    <w:p w:rsidR="00195BEA" w:rsidRPr="00B10E7A" w:rsidRDefault="00195BEA">
      <w:pPr>
        <w:rPr>
          <w:rFonts w:ascii="Arial Narrow" w:hAnsi="Arial Narrow"/>
          <w:sz w:val="24"/>
          <w:lang w:val="en-CA"/>
        </w:rPr>
      </w:pPr>
      <w:r w:rsidRPr="00B10E7A">
        <w:rPr>
          <w:rFonts w:ascii="Arial Narrow" w:hAnsi="Arial Narrow"/>
          <w:sz w:val="24"/>
          <w:lang w:val="en-CA"/>
        </w:rPr>
        <w:t>-disclose any restrictions on cash</w:t>
      </w:r>
    </w:p>
    <w:p w:rsidR="00195BEA" w:rsidRPr="00B10E7A" w:rsidRDefault="00195BEA">
      <w:pPr>
        <w:rPr>
          <w:rFonts w:ascii="Arial Narrow" w:hAnsi="Arial Narrow"/>
          <w:b/>
          <w:sz w:val="24"/>
          <w:lang w:val="en-CA"/>
        </w:rPr>
      </w:pPr>
      <w:r w:rsidRPr="00B10E7A">
        <w:rPr>
          <w:rFonts w:ascii="Arial Narrow" w:hAnsi="Arial Narrow"/>
          <w:b/>
          <w:sz w:val="24"/>
          <w:lang w:val="en-CA"/>
        </w:rPr>
        <w:t>Short-term investments</w:t>
      </w:r>
    </w:p>
    <w:p w:rsidR="00195BEA" w:rsidRPr="00B10E7A" w:rsidRDefault="00195BEA">
      <w:pPr>
        <w:rPr>
          <w:rFonts w:ascii="Arial Narrow" w:hAnsi="Arial Narrow"/>
          <w:sz w:val="24"/>
          <w:lang w:val="en-CA"/>
        </w:rPr>
      </w:pPr>
      <w:r w:rsidRPr="00B10E7A">
        <w:rPr>
          <w:rFonts w:ascii="Arial Narrow" w:hAnsi="Arial Narrow"/>
          <w:sz w:val="24"/>
          <w:lang w:val="en-CA"/>
        </w:rPr>
        <w:t>-financial investments in debt/equity securities</w:t>
      </w:r>
    </w:p>
    <w:p w:rsidR="00195BEA" w:rsidRPr="00B10E7A" w:rsidRDefault="00195BEA">
      <w:pPr>
        <w:rPr>
          <w:rFonts w:ascii="Arial Narrow" w:hAnsi="Arial Narrow"/>
          <w:sz w:val="24"/>
          <w:lang w:val="en-CA"/>
        </w:rPr>
      </w:pPr>
      <w:r w:rsidRPr="00B10E7A">
        <w:rPr>
          <w:rFonts w:ascii="Arial Narrow" w:hAnsi="Arial Narrow"/>
          <w:sz w:val="24"/>
          <w:lang w:val="en-CA"/>
        </w:rPr>
        <w:t>-measured at amortized cost or FV</w:t>
      </w:r>
    </w:p>
    <w:p w:rsidR="00195BEA" w:rsidRPr="00B10E7A" w:rsidRDefault="00195BEA">
      <w:pPr>
        <w:rPr>
          <w:rFonts w:ascii="Arial Narrow" w:hAnsi="Arial Narrow"/>
          <w:b/>
          <w:sz w:val="24"/>
          <w:lang w:val="en-CA"/>
        </w:rPr>
      </w:pPr>
      <w:r w:rsidRPr="00B10E7A">
        <w:rPr>
          <w:rFonts w:ascii="Arial Narrow" w:hAnsi="Arial Narrow"/>
          <w:b/>
          <w:sz w:val="24"/>
          <w:lang w:val="en-CA"/>
        </w:rPr>
        <w:t>Receivables</w:t>
      </w:r>
    </w:p>
    <w:p w:rsidR="00195BEA" w:rsidRPr="00B10E7A" w:rsidRDefault="00195BEA">
      <w:pPr>
        <w:rPr>
          <w:rFonts w:ascii="Arial Narrow" w:hAnsi="Arial Narrow"/>
          <w:sz w:val="24"/>
          <w:lang w:val="en-CA"/>
        </w:rPr>
      </w:pPr>
      <w:r w:rsidRPr="00B10E7A">
        <w:rPr>
          <w:rFonts w:ascii="Arial Narrow" w:hAnsi="Arial Narrow"/>
          <w:sz w:val="24"/>
          <w:lang w:val="en-CA"/>
        </w:rPr>
        <w:t>-report separately based on the nature of their origin: ordinary trade accounts; amounts owed by related parties; other</w:t>
      </w:r>
    </w:p>
    <w:p w:rsidR="00195BEA" w:rsidRPr="00B10E7A" w:rsidRDefault="00195BEA">
      <w:pPr>
        <w:rPr>
          <w:rFonts w:ascii="Arial Narrow" w:hAnsi="Arial Narrow"/>
          <w:sz w:val="24"/>
          <w:lang w:val="en-CA"/>
        </w:rPr>
      </w:pPr>
      <w:r w:rsidRPr="00B10E7A">
        <w:rPr>
          <w:rFonts w:ascii="Arial Narrow" w:hAnsi="Arial Narrow"/>
          <w:sz w:val="24"/>
          <w:lang w:val="en-CA"/>
        </w:rPr>
        <w:t>-disclose: - amount and nature of non-trade receivables</w:t>
      </w:r>
    </w:p>
    <w:p w:rsidR="00195BEA" w:rsidRPr="00B10E7A" w:rsidRDefault="00195BEA">
      <w:pPr>
        <w:rPr>
          <w:rFonts w:ascii="Arial Narrow" w:hAnsi="Arial Narrow"/>
          <w:sz w:val="24"/>
          <w:lang w:val="en-CA"/>
        </w:rPr>
      </w:pPr>
      <w:r w:rsidRPr="00B10E7A">
        <w:rPr>
          <w:rFonts w:ascii="Arial Narrow" w:hAnsi="Arial Narrow"/>
          <w:sz w:val="24"/>
          <w:lang w:val="en-CA"/>
        </w:rPr>
        <w:tab/>
        <w:t xml:space="preserve">   - receivables pledged as collateral</w:t>
      </w:r>
    </w:p>
    <w:p w:rsidR="00195BEA" w:rsidRPr="00B10E7A" w:rsidRDefault="00195BEA">
      <w:pPr>
        <w:rPr>
          <w:rFonts w:ascii="Arial Narrow" w:hAnsi="Arial Narrow"/>
          <w:sz w:val="24"/>
          <w:lang w:val="en-CA"/>
        </w:rPr>
      </w:pPr>
      <w:r w:rsidRPr="00B10E7A">
        <w:rPr>
          <w:rFonts w:ascii="Arial Narrow" w:hAnsi="Arial Narrow"/>
          <w:sz w:val="24"/>
          <w:lang w:val="en-CA"/>
        </w:rPr>
        <w:t>-measured at net realizable value</w:t>
      </w:r>
    </w:p>
    <w:p w:rsidR="00195BEA" w:rsidRPr="00B10E7A" w:rsidRDefault="00195BEA">
      <w:pPr>
        <w:rPr>
          <w:rFonts w:ascii="Arial Narrow" w:hAnsi="Arial Narrow"/>
          <w:b/>
          <w:sz w:val="24"/>
          <w:lang w:val="en-CA"/>
        </w:rPr>
      </w:pPr>
      <w:r w:rsidRPr="00B10E7A">
        <w:rPr>
          <w:rFonts w:ascii="Arial Narrow" w:hAnsi="Arial Narrow"/>
          <w:b/>
          <w:sz w:val="24"/>
          <w:lang w:val="en-CA"/>
        </w:rPr>
        <w:t>Inventories</w:t>
      </w:r>
    </w:p>
    <w:p w:rsidR="00195BEA" w:rsidRPr="00B10E7A" w:rsidRDefault="00195BEA">
      <w:pPr>
        <w:rPr>
          <w:rFonts w:ascii="Arial Narrow" w:hAnsi="Arial Narrow"/>
          <w:sz w:val="24"/>
          <w:lang w:val="en-CA"/>
        </w:rPr>
      </w:pPr>
      <w:r w:rsidRPr="00B10E7A">
        <w:rPr>
          <w:rFonts w:ascii="Arial Narrow" w:hAnsi="Arial Narrow"/>
          <w:sz w:val="24"/>
          <w:lang w:val="en-CA"/>
        </w:rPr>
        <w:t>-measured at lower of cost and net realisable value</w:t>
      </w:r>
    </w:p>
    <w:p w:rsidR="00195BEA" w:rsidRPr="00B10E7A" w:rsidRDefault="00195BEA">
      <w:pPr>
        <w:rPr>
          <w:rFonts w:ascii="Arial Narrow" w:hAnsi="Arial Narrow"/>
          <w:sz w:val="24"/>
          <w:lang w:val="en-CA"/>
        </w:rPr>
      </w:pPr>
      <w:r w:rsidRPr="00B10E7A">
        <w:rPr>
          <w:rFonts w:ascii="Arial Narrow" w:hAnsi="Arial Narrow"/>
          <w:sz w:val="24"/>
          <w:lang w:val="en-CA"/>
        </w:rPr>
        <w:t>-disclose: - cost computation method (FIFO, weighted average cost…)</w:t>
      </w:r>
    </w:p>
    <w:p w:rsidR="00195BEA" w:rsidRPr="00B10E7A" w:rsidRDefault="00195BEA">
      <w:pPr>
        <w:rPr>
          <w:rFonts w:ascii="Arial Narrow" w:hAnsi="Arial Narrow"/>
          <w:sz w:val="24"/>
          <w:lang w:val="en-CA"/>
        </w:rPr>
      </w:pPr>
      <w:r w:rsidRPr="00B10E7A">
        <w:rPr>
          <w:rFonts w:ascii="Arial Narrow" w:hAnsi="Arial Narrow"/>
          <w:sz w:val="24"/>
          <w:lang w:val="en-CA"/>
        </w:rPr>
        <w:tab/>
        <w:t xml:space="preserve">   - manufacturing companies: raw materials, work-in-process, finished goods</w:t>
      </w:r>
    </w:p>
    <w:p w:rsidR="00195BEA" w:rsidRPr="00B10E7A" w:rsidRDefault="00195BEA">
      <w:pPr>
        <w:rPr>
          <w:rFonts w:ascii="Arial Narrow" w:hAnsi="Arial Narrow"/>
          <w:b/>
          <w:sz w:val="24"/>
          <w:lang w:val="en-CA"/>
        </w:rPr>
      </w:pPr>
      <w:r w:rsidRPr="00B10E7A">
        <w:rPr>
          <w:rFonts w:ascii="Arial Narrow" w:hAnsi="Arial Narrow"/>
          <w:b/>
          <w:sz w:val="24"/>
          <w:lang w:val="en-CA"/>
        </w:rPr>
        <w:t>Prepaid expenses</w:t>
      </w:r>
    </w:p>
    <w:p w:rsidR="00195BEA" w:rsidRPr="00B10E7A" w:rsidRDefault="00195BEA">
      <w:pPr>
        <w:rPr>
          <w:rFonts w:ascii="Arial Narrow" w:hAnsi="Arial Narrow"/>
          <w:sz w:val="24"/>
          <w:lang w:val="en-CA"/>
        </w:rPr>
      </w:pPr>
      <w:r w:rsidRPr="00B10E7A">
        <w:rPr>
          <w:rFonts w:ascii="Arial Narrow" w:hAnsi="Arial Narrow"/>
          <w:sz w:val="24"/>
          <w:lang w:val="en-CA"/>
        </w:rPr>
        <w:t>-expenditures already made for benefits to be received within 1 year/operating cycle</w:t>
      </w:r>
    </w:p>
    <w:p w:rsidR="00195BEA" w:rsidRPr="00B10E7A" w:rsidRDefault="00195BEA">
      <w:pPr>
        <w:rPr>
          <w:rFonts w:ascii="Arial Narrow" w:hAnsi="Arial Narrow"/>
          <w:b/>
          <w:sz w:val="24"/>
          <w:lang w:val="en-CA"/>
        </w:rPr>
      </w:pPr>
      <w:r w:rsidRPr="00B10E7A">
        <w:rPr>
          <w:rFonts w:ascii="Arial Narrow" w:hAnsi="Arial Narrow"/>
          <w:b/>
          <w:sz w:val="24"/>
          <w:lang w:val="en-CA"/>
        </w:rPr>
        <w:t>Non-current investments</w:t>
      </w:r>
    </w:p>
    <w:p w:rsidR="00195BEA" w:rsidRPr="00B10E7A" w:rsidRDefault="00195BEA">
      <w:pPr>
        <w:rPr>
          <w:rFonts w:ascii="Arial Narrow" w:hAnsi="Arial Narrow"/>
          <w:sz w:val="24"/>
          <w:lang w:val="en-CA"/>
        </w:rPr>
      </w:pPr>
      <w:r w:rsidRPr="00B10E7A">
        <w:rPr>
          <w:rFonts w:ascii="Arial Narrow" w:hAnsi="Arial Narrow"/>
          <w:sz w:val="24"/>
          <w:lang w:val="en-CA"/>
        </w:rPr>
        <w:t>-could be debt securities, equity securities, sinking funds, tangible assets held as investments, other</w:t>
      </w:r>
    </w:p>
    <w:p w:rsidR="00195BEA" w:rsidRPr="00B10E7A" w:rsidRDefault="00195BEA">
      <w:pPr>
        <w:rPr>
          <w:rFonts w:ascii="Arial Narrow" w:hAnsi="Arial Narrow"/>
          <w:sz w:val="24"/>
          <w:lang w:val="en-CA"/>
        </w:rPr>
      </w:pPr>
      <w:r w:rsidRPr="00B10E7A">
        <w:rPr>
          <w:rFonts w:ascii="Arial Narrow" w:hAnsi="Arial Narrow"/>
          <w:sz w:val="24"/>
          <w:lang w:val="en-CA"/>
        </w:rPr>
        <w:t>-intended to be held for more than 12 months</w:t>
      </w:r>
    </w:p>
    <w:p w:rsidR="00195BEA" w:rsidRPr="00B10E7A" w:rsidRDefault="00195BEA">
      <w:pPr>
        <w:rPr>
          <w:rFonts w:ascii="Arial Narrow" w:hAnsi="Arial Narrow"/>
          <w:sz w:val="24"/>
          <w:lang w:val="en-CA"/>
        </w:rPr>
      </w:pPr>
      <w:r w:rsidRPr="00B10E7A">
        <w:rPr>
          <w:rFonts w:ascii="Arial Narrow" w:hAnsi="Arial Narrow"/>
          <w:sz w:val="24"/>
          <w:lang w:val="en-CA"/>
        </w:rPr>
        <w:t>-measured at FV, or amortized cost, or equity method (depends on the type of investment)</w:t>
      </w:r>
    </w:p>
    <w:p w:rsidR="00195BEA" w:rsidRPr="00B10E7A" w:rsidRDefault="00195BEA">
      <w:pPr>
        <w:rPr>
          <w:rFonts w:ascii="Arial Narrow" w:hAnsi="Arial Narrow"/>
          <w:b/>
          <w:sz w:val="24"/>
          <w:lang w:val="en-CA"/>
        </w:rPr>
      </w:pPr>
      <w:r w:rsidRPr="00B10E7A">
        <w:rPr>
          <w:rFonts w:ascii="Arial Narrow" w:hAnsi="Arial Narrow"/>
          <w:b/>
          <w:sz w:val="24"/>
          <w:lang w:val="en-CA"/>
        </w:rPr>
        <w:t>Property, plant, and equipment</w:t>
      </w:r>
    </w:p>
    <w:p w:rsidR="00195BEA" w:rsidRPr="00B10E7A" w:rsidRDefault="00195BEA">
      <w:pPr>
        <w:rPr>
          <w:rFonts w:ascii="Arial Narrow" w:hAnsi="Arial Narrow"/>
          <w:sz w:val="24"/>
          <w:lang w:val="en-CA"/>
        </w:rPr>
      </w:pPr>
      <w:r w:rsidRPr="00B10E7A">
        <w:rPr>
          <w:rFonts w:ascii="Arial Narrow" w:hAnsi="Arial Narrow"/>
          <w:sz w:val="24"/>
          <w:lang w:val="en-CA"/>
        </w:rPr>
        <w:t>-tangible assets used in on-going business operations to generate income</w:t>
      </w:r>
    </w:p>
    <w:p w:rsidR="00195BEA" w:rsidRPr="00B10E7A" w:rsidRDefault="00195BEA">
      <w:pPr>
        <w:rPr>
          <w:rFonts w:ascii="Arial Narrow" w:hAnsi="Arial Narrow"/>
          <w:sz w:val="24"/>
          <w:lang w:val="en-CA"/>
        </w:rPr>
      </w:pPr>
      <w:r w:rsidRPr="00B10E7A">
        <w:rPr>
          <w:rFonts w:ascii="Arial Narrow" w:hAnsi="Arial Narrow"/>
          <w:sz w:val="24"/>
          <w:lang w:val="en-CA"/>
        </w:rPr>
        <w:t>-measured at cost or amortized cost</w:t>
      </w:r>
    </w:p>
    <w:p w:rsidR="00195BEA" w:rsidRPr="00B10E7A" w:rsidRDefault="00195BEA">
      <w:pPr>
        <w:rPr>
          <w:rFonts w:ascii="Arial Narrow" w:hAnsi="Arial Narrow"/>
          <w:sz w:val="24"/>
          <w:lang w:val="en-CA"/>
        </w:rPr>
      </w:pPr>
      <w:r w:rsidRPr="00B10E7A">
        <w:rPr>
          <w:rFonts w:ascii="Arial Narrow" w:hAnsi="Arial Narrow"/>
          <w:sz w:val="24"/>
          <w:lang w:val="en-CA"/>
        </w:rPr>
        <w:t>-IFRS allows revaluation to FV</w:t>
      </w:r>
    </w:p>
    <w:p w:rsidR="00943B18" w:rsidRPr="00B10E7A" w:rsidRDefault="00195BEA">
      <w:pPr>
        <w:rPr>
          <w:rFonts w:ascii="Arial Narrow" w:hAnsi="Arial Narrow"/>
          <w:sz w:val="24"/>
          <w:lang w:val="en-CA"/>
        </w:rPr>
      </w:pPr>
      <w:r w:rsidRPr="00B10E7A">
        <w:rPr>
          <w:rFonts w:ascii="Arial Narrow" w:hAnsi="Arial Narrow"/>
          <w:sz w:val="24"/>
          <w:lang w:val="en-CA"/>
        </w:rPr>
        <w:t xml:space="preserve">-depreciated, except for land; impaired when book value falls below the maximum between </w:t>
      </w:r>
      <w:r w:rsidR="00943B18" w:rsidRPr="00B10E7A">
        <w:rPr>
          <w:rFonts w:ascii="Arial Narrow" w:hAnsi="Arial Narrow"/>
          <w:sz w:val="24"/>
          <w:lang w:val="en-CA"/>
        </w:rPr>
        <w:t>fair value less costs to sell and value in use</w:t>
      </w:r>
    </w:p>
    <w:p w:rsidR="00943B18" w:rsidRPr="00B10E7A" w:rsidRDefault="00943B18">
      <w:pPr>
        <w:rPr>
          <w:rFonts w:ascii="Arial Narrow" w:hAnsi="Arial Narrow"/>
          <w:sz w:val="24"/>
          <w:lang w:val="en-CA"/>
        </w:rPr>
      </w:pPr>
      <w:r w:rsidRPr="00B10E7A">
        <w:rPr>
          <w:rFonts w:ascii="Arial Narrow" w:hAnsi="Arial Narrow"/>
          <w:sz w:val="24"/>
          <w:lang w:val="en-CA"/>
        </w:rPr>
        <w:lastRenderedPageBreak/>
        <w:t>-disclose: useful life, recoverable value, depreciation method</w:t>
      </w:r>
    </w:p>
    <w:p w:rsidR="00943B18" w:rsidRPr="00B10E7A" w:rsidRDefault="00943B18">
      <w:pPr>
        <w:rPr>
          <w:rFonts w:ascii="Arial Narrow" w:hAnsi="Arial Narrow"/>
          <w:b/>
          <w:sz w:val="24"/>
          <w:lang w:val="en-CA"/>
        </w:rPr>
      </w:pPr>
      <w:r w:rsidRPr="00B10E7A">
        <w:rPr>
          <w:rFonts w:ascii="Arial Narrow" w:hAnsi="Arial Narrow"/>
          <w:b/>
          <w:sz w:val="24"/>
          <w:lang w:val="en-CA"/>
        </w:rPr>
        <w:t>Intangible assets</w:t>
      </w:r>
    </w:p>
    <w:p w:rsidR="00943B18" w:rsidRPr="00B10E7A" w:rsidRDefault="00943B18">
      <w:pPr>
        <w:rPr>
          <w:rFonts w:ascii="Arial Narrow" w:hAnsi="Arial Narrow"/>
          <w:sz w:val="24"/>
          <w:lang w:val="en-CA"/>
        </w:rPr>
      </w:pPr>
      <w:r w:rsidRPr="00B10E7A">
        <w:rPr>
          <w:rFonts w:ascii="Arial Narrow" w:hAnsi="Arial Narrow"/>
          <w:sz w:val="24"/>
          <w:lang w:val="en-CA"/>
        </w:rPr>
        <w:t>-lack physical substance, held to generate revenue</w:t>
      </w:r>
    </w:p>
    <w:p w:rsidR="00943B18" w:rsidRPr="00B10E7A" w:rsidRDefault="00943B18">
      <w:pPr>
        <w:rPr>
          <w:rFonts w:ascii="Arial Narrow" w:hAnsi="Arial Narrow"/>
          <w:sz w:val="24"/>
          <w:lang w:val="en-CA"/>
        </w:rPr>
      </w:pPr>
      <w:r w:rsidRPr="00B10E7A">
        <w:rPr>
          <w:rFonts w:ascii="Arial Narrow" w:hAnsi="Arial Narrow"/>
          <w:sz w:val="24"/>
          <w:lang w:val="en-CA"/>
        </w:rPr>
        <w:t>-patents, copyrights, franchises, trademarks, brand names etc</w:t>
      </w:r>
    </w:p>
    <w:p w:rsidR="00943B18" w:rsidRPr="00B10E7A" w:rsidRDefault="00943B18">
      <w:pPr>
        <w:rPr>
          <w:rFonts w:ascii="Arial Narrow" w:hAnsi="Arial Narrow"/>
          <w:sz w:val="24"/>
          <w:lang w:val="en-CA"/>
        </w:rPr>
      </w:pPr>
      <w:r w:rsidRPr="00B10E7A">
        <w:rPr>
          <w:rFonts w:ascii="Arial Narrow" w:hAnsi="Arial Narrow"/>
          <w:sz w:val="24"/>
          <w:lang w:val="en-CA"/>
        </w:rPr>
        <w:t>-under IFRS, capitalize development costs, but expense research costs or development costs that do not meet the recognition criteria</w:t>
      </w:r>
    </w:p>
    <w:p w:rsidR="00943B18" w:rsidRPr="00B10E7A" w:rsidRDefault="00943B18">
      <w:pPr>
        <w:rPr>
          <w:rFonts w:ascii="Arial Narrow" w:hAnsi="Arial Narrow"/>
          <w:sz w:val="24"/>
          <w:lang w:val="en-CA"/>
        </w:rPr>
      </w:pPr>
      <w:r w:rsidRPr="00B10E7A">
        <w:rPr>
          <w:rFonts w:ascii="Arial Narrow" w:hAnsi="Arial Narrow"/>
          <w:sz w:val="24"/>
          <w:lang w:val="en-CA"/>
        </w:rPr>
        <w:t>-internally-generated intangible assets (e.g., goodwill) are usually not recognized, except in the case of business acquisitions (Goodwill = Purchase price – Book value – Identifiable differences)</w:t>
      </w:r>
    </w:p>
    <w:p w:rsidR="00943B18" w:rsidRPr="00B10E7A" w:rsidRDefault="00943B18">
      <w:pPr>
        <w:rPr>
          <w:rFonts w:ascii="Arial Narrow" w:hAnsi="Arial Narrow"/>
          <w:sz w:val="24"/>
          <w:lang w:val="en-CA"/>
        </w:rPr>
      </w:pPr>
      <w:r w:rsidRPr="00B10E7A">
        <w:rPr>
          <w:rFonts w:ascii="Arial Narrow" w:hAnsi="Arial Narrow"/>
          <w:sz w:val="24"/>
          <w:lang w:val="en-CA"/>
        </w:rPr>
        <w:t>-if finite life – amortized</w:t>
      </w:r>
    </w:p>
    <w:p w:rsidR="00943B18" w:rsidRPr="00B10E7A" w:rsidRDefault="00943B18">
      <w:pPr>
        <w:rPr>
          <w:rFonts w:ascii="Arial Narrow" w:hAnsi="Arial Narrow"/>
          <w:sz w:val="24"/>
          <w:lang w:val="en-CA"/>
        </w:rPr>
      </w:pPr>
      <w:r w:rsidRPr="00B10E7A">
        <w:rPr>
          <w:rFonts w:ascii="Arial Narrow" w:hAnsi="Arial Narrow"/>
          <w:sz w:val="24"/>
          <w:lang w:val="en-CA"/>
        </w:rPr>
        <w:t>-if indefinite life – not amortized, but tested for impairment</w:t>
      </w:r>
    </w:p>
    <w:p w:rsidR="00943B18" w:rsidRPr="00B10E7A" w:rsidRDefault="00943B18">
      <w:pPr>
        <w:rPr>
          <w:rFonts w:ascii="Arial Narrow" w:hAnsi="Arial Narrow"/>
          <w:b/>
          <w:sz w:val="24"/>
          <w:lang w:val="en-CA"/>
        </w:rPr>
      </w:pPr>
      <w:r w:rsidRPr="00B10E7A">
        <w:rPr>
          <w:rFonts w:ascii="Arial Narrow" w:hAnsi="Arial Narrow"/>
          <w:b/>
          <w:sz w:val="24"/>
          <w:lang w:val="en-CA"/>
        </w:rPr>
        <w:t>Current liabilities</w:t>
      </w:r>
    </w:p>
    <w:p w:rsidR="00943B18" w:rsidRPr="00B10E7A" w:rsidRDefault="00943B18">
      <w:pPr>
        <w:rPr>
          <w:rFonts w:ascii="Arial Narrow" w:hAnsi="Arial Narrow"/>
          <w:sz w:val="24"/>
          <w:lang w:val="en-CA"/>
        </w:rPr>
      </w:pPr>
      <w:r w:rsidRPr="00B10E7A">
        <w:rPr>
          <w:rFonts w:ascii="Arial Narrow" w:hAnsi="Arial Narrow"/>
          <w:sz w:val="24"/>
          <w:lang w:val="en-CA"/>
        </w:rPr>
        <w:t>-payables, unearned revenue, other short-term liabilities, short-term financing payable on demand (line of credit)</w:t>
      </w:r>
    </w:p>
    <w:p w:rsidR="00943B18" w:rsidRPr="00B10E7A" w:rsidRDefault="00943B18">
      <w:pPr>
        <w:rPr>
          <w:rFonts w:ascii="Arial Narrow" w:hAnsi="Arial Narrow"/>
          <w:b/>
          <w:sz w:val="24"/>
          <w:lang w:val="en-CA"/>
        </w:rPr>
      </w:pPr>
      <w:r w:rsidRPr="00B10E7A">
        <w:rPr>
          <w:rFonts w:ascii="Arial Narrow" w:hAnsi="Arial Narrow"/>
          <w:b/>
          <w:sz w:val="24"/>
          <w:lang w:val="en-CA"/>
        </w:rPr>
        <w:t>Long-term liabilities</w:t>
      </w:r>
    </w:p>
    <w:p w:rsidR="00943B18" w:rsidRPr="00B10E7A" w:rsidRDefault="00943B18">
      <w:pPr>
        <w:rPr>
          <w:rFonts w:ascii="Arial Narrow" w:hAnsi="Arial Narrow"/>
          <w:sz w:val="24"/>
          <w:lang w:val="en-CA"/>
        </w:rPr>
      </w:pPr>
      <w:r w:rsidRPr="00B10E7A">
        <w:rPr>
          <w:rFonts w:ascii="Arial Narrow" w:hAnsi="Arial Narrow"/>
          <w:sz w:val="24"/>
          <w:lang w:val="en-CA"/>
        </w:rPr>
        <w:t>-obligations not expected to be paid within 1 year/operating cycle</w:t>
      </w:r>
    </w:p>
    <w:p w:rsidR="00943B18" w:rsidRPr="00B10E7A" w:rsidRDefault="00943B18">
      <w:pPr>
        <w:rPr>
          <w:rFonts w:ascii="Arial Narrow" w:hAnsi="Arial Narrow"/>
          <w:sz w:val="24"/>
          <w:lang w:val="en-CA"/>
        </w:rPr>
      </w:pPr>
      <w:r w:rsidRPr="00B10E7A">
        <w:rPr>
          <w:rFonts w:ascii="Arial Narrow" w:hAnsi="Arial Narrow"/>
          <w:sz w:val="24"/>
          <w:lang w:val="en-CA"/>
        </w:rPr>
        <w:t xml:space="preserve">-arising from: - financing situations (e.g., bonds) </w:t>
      </w:r>
      <w:r w:rsidR="00195BEA" w:rsidRPr="00B10E7A">
        <w:rPr>
          <w:rFonts w:ascii="Arial Narrow" w:hAnsi="Arial Narrow"/>
          <w:sz w:val="24"/>
          <w:lang w:val="en-CA"/>
        </w:rPr>
        <w:t xml:space="preserve"> </w:t>
      </w:r>
    </w:p>
    <w:p w:rsidR="00943B18" w:rsidRPr="00B10E7A" w:rsidRDefault="00943B18">
      <w:pPr>
        <w:rPr>
          <w:rFonts w:ascii="Arial Narrow" w:hAnsi="Arial Narrow"/>
          <w:sz w:val="24"/>
          <w:lang w:val="en-CA"/>
        </w:rPr>
      </w:pPr>
      <w:r w:rsidRPr="00B10E7A">
        <w:rPr>
          <w:rFonts w:ascii="Arial Narrow" w:hAnsi="Arial Narrow"/>
          <w:sz w:val="24"/>
          <w:lang w:val="en-CA"/>
        </w:rPr>
        <w:tab/>
        <w:t xml:space="preserve">           - ordinary operations (e.g., pension obligations)</w:t>
      </w:r>
    </w:p>
    <w:p w:rsidR="00943B18" w:rsidRPr="00B10E7A" w:rsidRDefault="00943B18">
      <w:pPr>
        <w:rPr>
          <w:rFonts w:ascii="Arial Narrow" w:hAnsi="Arial Narrow"/>
          <w:sz w:val="24"/>
          <w:lang w:val="en-CA"/>
        </w:rPr>
      </w:pPr>
      <w:r w:rsidRPr="00B10E7A">
        <w:rPr>
          <w:rFonts w:ascii="Arial Narrow" w:hAnsi="Arial Narrow"/>
          <w:sz w:val="24"/>
          <w:lang w:val="en-CA"/>
        </w:rPr>
        <w:tab/>
        <w:t xml:space="preserve">           - ordinary operations contingent on future events (e.g., product warranty)</w:t>
      </w:r>
    </w:p>
    <w:p w:rsidR="00943B18" w:rsidRPr="00B10E7A" w:rsidRDefault="00943B18">
      <w:pPr>
        <w:rPr>
          <w:rFonts w:ascii="Arial Narrow" w:hAnsi="Arial Narrow"/>
          <w:sz w:val="24"/>
          <w:lang w:val="en-CA"/>
        </w:rPr>
      </w:pPr>
      <w:r w:rsidRPr="00B10E7A">
        <w:rPr>
          <w:rFonts w:ascii="Arial Narrow" w:hAnsi="Arial Narrow"/>
          <w:sz w:val="24"/>
          <w:lang w:val="en-CA"/>
        </w:rPr>
        <w:t>-portion due within the next year is a current liability</w:t>
      </w:r>
    </w:p>
    <w:p w:rsidR="00943B18" w:rsidRPr="00B10E7A" w:rsidRDefault="00943B18">
      <w:pPr>
        <w:rPr>
          <w:rFonts w:ascii="Arial Narrow" w:hAnsi="Arial Narrow"/>
          <w:b/>
          <w:sz w:val="24"/>
          <w:lang w:val="en-CA"/>
        </w:rPr>
      </w:pPr>
      <w:r w:rsidRPr="00B10E7A">
        <w:rPr>
          <w:rFonts w:ascii="Arial Narrow" w:hAnsi="Arial Narrow"/>
          <w:b/>
          <w:sz w:val="24"/>
          <w:lang w:val="en-CA"/>
        </w:rPr>
        <w:t>Shareholders’ Equity</w:t>
      </w:r>
    </w:p>
    <w:p w:rsidR="00943B18" w:rsidRPr="00B10E7A" w:rsidRDefault="00943B18">
      <w:pPr>
        <w:rPr>
          <w:rFonts w:ascii="Arial Narrow" w:hAnsi="Arial Narrow"/>
          <w:sz w:val="24"/>
          <w:lang w:val="en-CA"/>
        </w:rPr>
      </w:pPr>
      <w:r w:rsidRPr="00B10E7A">
        <w:rPr>
          <w:rFonts w:ascii="Arial Narrow" w:hAnsi="Arial Narrow"/>
          <w:sz w:val="24"/>
          <w:lang w:val="en-CA"/>
        </w:rPr>
        <w:t>-share capital – issued, authorized, outstanding amounts</w:t>
      </w:r>
    </w:p>
    <w:p w:rsidR="00943B18" w:rsidRPr="00B10E7A" w:rsidRDefault="00943B18">
      <w:pPr>
        <w:rPr>
          <w:rFonts w:ascii="Arial Narrow" w:hAnsi="Arial Narrow"/>
          <w:sz w:val="24"/>
          <w:lang w:val="en-CA"/>
        </w:rPr>
      </w:pPr>
      <w:r w:rsidRPr="00B10E7A">
        <w:rPr>
          <w:rFonts w:ascii="Arial Narrow" w:hAnsi="Arial Narrow"/>
          <w:sz w:val="24"/>
          <w:lang w:val="en-CA"/>
        </w:rPr>
        <w:t>-contribution surplus</w:t>
      </w:r>
    </w:p>
    <w:p w:rsidR="00943B18" w:rsidRPr="00B10E7A" w:rsidRDefault="00943B18">
      <w:pPr>
        <w:rPr>
          <w:rFonts w:ascii="Arial Narrow" w:hAnsi="Arial Narrow"/>
          <w:sz w:val="24"/>
          <w:lang w:val="en-CA"/>
        </w:rPr>
      </w:pPr>
      <w:r w:rsidRPr="00B10E7A">
        <w:rPr>
          <w:rFonts w:ascii="Arial Narrow" w:hAnsi="Arial Narrow"/>
          <w:sz w:val="24"/>
          <w:lang w:val="en-CA"/>
        </w:rPr>
        <w:t>-accumulated OCI</w:t>
      </w:r>
    </w:p>
    <w:p w:rsidR="00943B18" w:rsidRPr="00B10E7A" w:rsidRDefault="00943B18">
      <w:pPr>
        <w:rPr>
          <w:rFonts w:ascii="Arial Narrow" w:hAnsi="Arial Narrow"/>
          <w:sz w:val="24"/>
          <w:lang w:val="en-CA"/>
        </w:rPr>
      </w:pPr>
    </w:p>
    <w:p w:rsidR="00943B18" w:rsidRPr="00B10E7A" w:rsidRDefault="00943B18">
      <w:pPr>
        <w:rPr>
          <w:rFonts w:ascii="Arial Narrow" w:hAnsi="Arial Narrow"/>
          <w:b/>
          <w:sz w:val="24"/>
          <w:lang w:val="en-CA"/>
        </w:rPr>
      </w:pPr>
      <w:r w:rsidRPr="00B10E7A">
        <w:rPr>
          <w:rFonts w:ascii="Arial Narrow" w:hAnsi="Arial Narrow"/>
          <w:b/>
          <w:sz w:val="24"/>
          <w:lang w:val="en-CA"/>
        </w:rPr>
        <w:t>Other disclosures</w:t>
      </w:r>
    </w:p>
    <w:p w:rsidR="00943B18" w:rsidRPr="00B10E7A" w:rsidRDefault="00943B18">
      <w:pPr>
        <w:rPr>
          <w:rFonts w:ascii="Arial Narrow" w:hAnsi="Arial Narrow"/>
          <w:sz w:val="24"/>
          <w:lang w:val="en-CA"/>
        </w:rPr>
      </w:pPr>
      <w:r w:rsidRPr="00B10E7A">
        <w:rPr>
          <w:rFonts w:ascii="Arial Narrow" w:hAnsi="Arial Narrow"/>
          <w:sz w:val="24"/>
          <w:lang w:val="en-CA"/>
        </w:rPr>
        <w:t>-contingencies – material events with uncertain outcome (disclosed, not recognized)</w:t>
      </w:r>
    </w:p>
    <w:p w:rsidR="00943B18" w:rsidRPr="00B10E7A" w:rsidRDefault="00943B18">
      <w:pPr>
        <w:rPr>
          <w:rFonts w:ascii="Arial Narrow" w:hAnsi="Arial Narrow"/>
          <w:sz w:val="24"/>
          <w:lang w:val="en-CA"/>
        </w:rPr>
      </w:pPr>
      <w:r w:rsidRPr="00B10E7A">
        <w:rPr>
          <w:rFonts w:ascii="Arial Narrow" w:hAnsi="Arial Narrow"/>
          <w:sz w:val="24"/>
          <w:lang w:val="en-CA"/>
        </w:rPr>
        <w:t>-accounting policies</w:t>
      </w:r>
    </w:p>
    <w:p w:rsidR="00943B18" w:rsidRPr="00B10E7A" w:rsidRDefault="00943B18">
      <w:pPr>
        <w:rPr>
          <w:rFonts w:ascii="Arial Narrow" w:hAnsi="Arial Narrow"/>
          <w:sz w:val="24"/>
          <w:lang w:val="en-CA"/>
        </w:rPr>
      </w:pPr>
      <w:r w:rsidRPr="00B10E7A">
        <w:rPr>
          <w:rFonts w:ascii="Arial Narrow" w:hAnsi="Arial Narrow"/>
          <w:sz w:val="24"/>
          <w:lang w:val="en-CA"/>
        </w:rPr>
        <w:t>-contractual situations, e.g., covenants, restrictions, commitments on, for example, working capital, ROE, current ratio, etc.</w:t>
      </w:r>
    </w:p>
    <w:p w:rsidR="00943B18" w:rsidRPr="00B10E7A" w:rsidRDefault="00943B18">
      <w:pPr>
        <w:rPr>
          <w:rFonts w:ascii="Arial Narrow" w:hAnsi="Arial Narrow"/>
          <w:sz w:val="24"/>
          <w:lang w:val="en-CA"/>
        </w:rPr>
      </w:pPr>
      <w:r w:rsidRPr="00B10E7A">
        <w:rPr>
          <w:rFonts w:ascii="Arial Narrow" w:hAnsi="Arial Narrow"/>
          <w:sz w:val="24"/>
          <w:lang w:val="en-CA"/>
        </w:rPr>
        <w:t>-additional detail on line items</w:t>
      </w:r>
    </w:p>
    <w:p w:rsidR="00943B18" w:rsidRPr="00B10E7A" w:rsidRDefault="00943B18">
      <w:pPr>
        <w:rPr>
          <w:rFonts w:ascii="Arial Narrow" w:hAnsi="Arial Narrow"/>
          <w:sz w:val="24"/>
          <w:lang w:val="en-CA"/>
        </w:rPr>
      </w:pPr>
      <w:r w:rsidRPr="00B10E7A">
        <w:rPr>
          <w:rFonts w:ascii="Arial Narrow" w:hAnsi="Arial Narrow"/>
          <w:sz w:val="24"/>
          <w:lang w:val="en-CA"/>
        </w:rPr>
        <w:lastRenderedPageBreak/>
        <w:t>-subsequent events: - adjusting events – evidence of conditions that existed at the balance sheet date</w:t>
      </w:r>
    </w:p>
    <w:p w:rsidR="00943B18" w:rsidRPr="00B10E7A" w:rsidRDefault="00943B18">
      <w:pPr>
        <w:rPr>
          <w:rFonts w:ascii="Arial Narrow" w:hAnsi="Arial Narrow"/>
          <w:sz w:val="24"/>
          <w:lang w:val="en-CA"/>
        </w:rPr>
      </w:pPr>
      <w:r w:rsidRPr="00B10E7A">
        <w:rPr>
          <w:rFonts w:ascii="Arial Narrow" w:hAnsi="Arial Narrow"/>
          <w:sz w:val="24"/>
          <w:lang w:val="en-CA"/>
        </w:rPr>
        <w:tab/>
      </w:r>
      <w:r w:rsidRPr="00B10E7A">
        <w:rPr>
          <w:rFonts w:ascii="Arial Narrow" w:hAnsi="Arial Narrow"/>
          <w:sz w:val="24"/>
          <w:lang w:val="en-CA"/>
        </w:rPr>
        <w:tab/>
        <w:t xml:space="preserve">        - non-adjusting events</w:t>
      </w:r>
    </w:p>
    <w:p w:rsidR="005D3C43" w:rsidRPr="00B10E7A" w:rsidRDefault="005D3C43">
      <w:pPr>
        <w:rPr>
          <w:rFonts w:ascii="Arial Narrow" w:hAnsi="Arial Narrow"/>
          <w:b/>
          <w:sz w:val="24"/>
          <w:lang w:val="en-CA"/>
        </w:rPr>
      </w:pPr>
    </w:p>
    <w:p w:rsidR="005D3C43" w:rsidRPr="00B10E7A" w:rsidRDefault="005D3C43">
      <w:pPr>
        <w:rPr>
          <w:rFonts w:ascii="Arial Narrow" w:hAnsi="Arial Narrow"/>
          <w:b/>
          <w:sz w:val="24"/>
          <w:lang w:val="en-CA"/>
        </w:rPr>
      </w:pPr>
      <w:r w:rsidRPr="00B10E7A">
        <w:rPr>
          <w:rFonts w:ascii="Arial Narrow" w:hAnsi="Arial Narrow"/>
          <w:b/>
          <w:sz w:val="24"/>
          <w:lang w:val="en-CA"/>
        </w:rPr>
        <w:t>Use financial ratios to critically evaluate accounting choices!</w:t>
      </w:r>
      <w:r w:rsidR="004722EF" w:rsidRPr="00B10E7A">
        <w:rPr>
          <w:rFonts w:ascii="Arial Narrow" w:hAnsi="Arial Narrow"/>
          <w:b/>
          <w:sz w:val="24"/>
          <w:lang w:val="en-CA"/>
        </w:rPr>
        <w:t xml:space="preserve"> </w:t>
      </w:r>
      <w:r w:rsidR="004722EF" w:rsidRPr="00B10E7A">
        <w:rPr>
          <w:rFonts w:ascii="Arial Narrow" w:hAnsi="Arial Narrow"/>
          <w:sz w:val="24"/>
          <w:lang w:val="en-CA"/>
        </w:rPr>
        <w:t>i.e., also think about how the numbers used to compute the ratios were “produced” and whether changing anything in those accounting policies would lead to changes in numbers, and hence ratios</w:t>
      </w:r>
      <w:r w:rsidRPr="00B10E7A">
        <w:rPr>
          <w:rFonts w:ascii="Arial Narrow" w:hAnsi="Arial Narrow"/>
          <w:b/>
          <w:sz w:val="24"/>
          <w:lang w:val="en-CA"/>
        </w:rPr>
        <w:br w:type="page"/>
      </w:r>
    </w:p>
    <w:p w:rsidR="009D6309" w:rsidRPr="00B10E7A" w:rsidRDefault="009D6309">
      <w:pPr>
        <w:rPr>
          <w:rFonts w:ascii="Arial Narrow" w:hAnsi="Arial Narrow"/>
          <w:b/>
          <w:sz w:val="24"/>
          <w:lang w:val="en-CA"/>
        </w:rPr>
      </w:pPr>
      <w:r w:rsidRPr="00B10E7A">
        <w:rPr>
          <w:rFonts w:ascii="Arial Narrow" w:hAnsi="Arial Narrow"/>
          <w:b/>
          <w:sz w:val="24"/>
          <w:lang w:val="en-CA"/>
        </w:rPr>
        <w:lastRenderedPageBreak/>
        <w:t>P5-4 pg. 300</w:t>
      </w:r>
    </w:p>
    <w:p w:rsidR="009D6309" w:rsidRPr="00B10E7A" w:rsidRDefault="009D6309">
      <w:pPr>
        <w:rPr>
          <w:rFonts w:ascii="Arial Narrow" w:hAnsi="Arial Narrow"/>
          <w:sz w:val="24"/>
          <w:lang w:val="en-CA"/>
        </w:rPr>
      </w:pPr>
      <w:r w:rsidRPr="00B10E7A">
        <w:rPr>
          <w:rFonts w:ascii="Arial Narrow" w:hAnsi="Arial Narrow"/>
          <w:sz w:val="24"/>
          <w:lang w:val="en-CA"/>
        </w:rPr>
        <w:t>The statement of financial position of Delacosta Corporation as of December 31, 2014, is as follows:</w:t>
      </w:r>
    </w:p>
    <w:p w:rsidR="009D6309" w:rsidRPr="00B10E7A" w:rsidRDefault="009D6309" w:rsidP="009D6309">
      <w:pPr>
        <w:spacing w:after="0"/>
        <w:jc w:val="center"/>
        <w:rPr>
          <w:rFonts w:ascii="Arial Narrow" w:hAnsi="Arial Narrow"/>
          <w:b/>
          <w:sz w:val="24"/>
          <w:lang w:val="en-CA"/>
        </w:rPr>
      </w:pPr>
      <w:r w:rsidRPr="00B10E7A">
        <w:rPr>
          <w:rFonts w:ascii="Arial Narrow" w:hAnsi="Arial Narrow"/>
          <w:b/>
          <w:sz w:val="24"/>
          <w:lang w:val="en-CA"/>
        </w:rPr>
        <w:t>DELACOSTA CORPORATION</w:t>
      </w:r>
    </w:p>
    <w:p w:rsidR="009D6309" w:rsidRPr="00B10E7A" w:rsidRDefault="009D6309" w:rsidP="009D6309">
      <w:pPr>
        <w:spacing w:after="0"/>
        <w:jc w:val="center"/>
        <w:rPr>
          <w:rFonts w:ascii="Arial Narrow" w:hAnsi="Arial Narrow"/>
          <w:b/>
          <w:sz w:val="24"/>
          <w:lang w:val="en-CA"/>
        </w:rPr>
      </w:pPr>
      <w:r w:rsidRPr="00B10E7A">
        <w:rPr>
          <w:rFonts w:ascii="Arial Narrow" w:hAnsi="Arial Narrow"/>
          <w:b/>
          <w:sz w:val="24"/>
          <w:lang w:val="en-CA"/>
        </w:rPr>
        <w:t>Statement of Financial Position</w:t>
      </w:r>
    </w:p>
    <w:p w:rsidR="009D6309" w:rsidRPr="00B10E7A" w:rsidRDefault="009D6309" w:rsidP="009D6309">
      <w:pPr>
        <w:spacing w:after="0"/>
        <w:jc w:val="center"/>
        <w:rPr>
          <w:rFonts w:ascii="Arial Narrow" w:hAnsi="Arial Narrow"/>
          <w:sz w:val="24"/>
          <w:lang w:val="en-CA"/>
        </w:rPr>
      </w:pPr>
      <w:r w:rsidRPr="00B10E7A">
        <w:rPr>
          <w:rFonts w:ascii="Arial Narrow" w:hAnsi="Arial Narrow"/>
          <w:sz w:val="24"/>
          <w:lang w:val="en-CA"/>
        </w:rPr>
        <w:t>December 31, 2014</w:t>
      </w:r>
    </w:p>
    <w:p w:rsidR="000177E1" w:rsidRPr="00B10E7A" w:rsidRDefault="000177E1" w:rsidP="000177E1">
      <w:pPr>
        <w:spacing w:after="0"/>
        <w:jc w:val="both"/>
        <w:rPr>
          <w:rFonts w:ascii="Arial Narrow" w:hAnsi="Arial Narrow"/>
          <w:sz w:val="24"/>
          <w:lang w:val="en-CA"/>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4394"/>
        <w:gridCol w:w="1276"/>
      </w:tblGrid>
      <w:tr w:rsidR="00BF6D43" w:rsidRPr="00B10E7A" w:rsidTr="00BF6D43">
        <w:trPr>
          <w:jc w:val="center"/>
        </w:trPr>
        <w:tc>
          <w:tcPr>
            <w:tcW w:w="5240" w:type="dxa"/>
            <w:gridSpan w:val="2"/>
          </w:tcPr>
          <w:p w:rsidR="00BF6D43" w:rsidRPr="00B10E7A" w:rsidRDefault="00BF6D43" w:rsidP="000177E1">
            <w:pPr>
              <w:jc w:val="both"/>
              <w:rPr>
                <w:rFonts w:ascii="Arial Narrow" w:hAnsi="Arial Narrow"/>
                <w:b/>
                <w:sz w:val="24"/>
                <w:lang w:val="en-CA"/>
              </w:rPr>
            </w:pPr>
            <w:r w:rsidRPr="00B10E7A">
              <w:rPr>
                <w:rFonts w:ascii="Arial Narrow" w:hAnsi="Arial Narrow"/>
                <w:b/>
                <w:sz w:val="24"/>
                <w:lang w:val="en-CA"/>
              </w:rPr>
              <w:t>Assets</w:t>
            </w:r>
          </w:p>
        </w:tc>
        <w:tc>
          <w:tcPr>
            <w:tcW w:w="1276" w:type="dxa"/>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CAD</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Goodwill (Note 2)</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70,000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Buildings (Note 1)</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1,640,000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Inventory</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312,100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Investments – trading (Note 4)</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100,000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Land</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950,000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Accounts receivable</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170,000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Investments in shares (FV-OCI) (Note 4)</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87,000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Cash</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175,900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Assets allocated to trustee for plant expansion</w:t>
            </w:r>
          </w:p>
        </w:tc>
        <w:tc>
          <w:tcPr>
            <w:tcW w:w="1276" w:type="dxa"/>
          </w:tcPr>
          <w:p w:rsidR="00BF6D43" w:rsidRPr="00B10E7A" w:rsidRDefault="00BF6D43" w:rsidP="00BF6D43">
            <w:pPr>
              <w:jc w:val="right"/>
              <w:rPr>
                <w:rFonts w:ascii="Arial Narrow" w:hAnsi="Arial Narrow"/>
                <w:sz w:val="24"/>
                <w:lang w:val="en-CA"/>
              </w:rPr>
            </w:pPr>
          </w:p>
        </w:tc>
      </w:tr>
      <w:tr w:rsidR="00BF6D43" w:rsidRPr="00B10E7A" w:rsidTr="00BF6D43">
        <w:trPr>
          <w:jc w:val="center"/>
        </w:trPr>
        <w:tc>
          <w:tcPr>
            <w:tcW w:w="846" w:type="dxa"/>
          </w:tcPr>
          <w:p w:rsidR="00BF6D43" w:rsidRPr="00B10E7A" w:rsidRDefault="00BF6D43" w:rsidP="000177E1">
            <w:pPr>
              <w:jc w:val="both"/>
              <w:rPr>
                <w:rFonts w:ascii="Arial Narrow" w:hAnsi="Arial Narrow"/>
                <w:sz w:val="24"/>
                <w:lang w:val="en-CA"/>
              </w:rPr>
            </w:pPr>
          </w:p>
        </w:tc>
        <w:tc>
          <w:tcPr>
            <w:tcW w:w="4394" w:type="dxa"/>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Cash</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120,000</w:t>
            </w:r>
          </w:p>
        </w:tc>
      </w:tr>
      <w:tr w:rsidR="00BF6D43" w:rsidRPr="00B10E7A" w:rsidTr="00BF6D43">
        <w:trPr>
          <w:jc w:val="center"/>
        </w:trPr>
        <w:tc>
          <w:tcPr>
            <w:tcW w:w="846" w:type="dxa"/>
          </w:tcPr>
          <w:p w:rsidR="00BF6D43" w:rsidRPr="00B10E7A" w:rsidRDefault="00BF6D43" w:rsidP="000177E1">
            <w:pPr>
              <w:jc w:val="both"/>
              <w:rPr>
                <w:rFonts w:ascii="Arial Narrow" w:hAnsi="Arial Narrow"/>
                <w:sz w:val="24"/>
                <w:lang w:val="en-CA"/>
              </w:rPr>
            </w:pPr>
          </w:p>
        </w:tc>
        <w:tc>
          <w:tcPr>
            <w:tcW w:w="4394" w:type="dxa"/>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Treasury notes, at cost and fair value</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138,000</w:t>
            </w:r>
          </w:p>
        </w:tc>
      </w:tr>
      <w:tr w:rsidR="00BF6D43" w:rsidRPr="00B10E7A" w:rsidTr="00BF6D43">
        <w:trPr>
          <w:jc w:val="center"/>
        </w:trPr>
        <w:tc>
          <w:tcPr>
            <w:tcW w:w="846" w:type="dxa"/>
          </w:tcPr>
          <w:p w:rsidR="00BF6D43" w:rsidRPr="00B10E7A" w:rsidRDefault="00BF6D43" w:rsidP="000177E1">
            <w:pPr>
              <w:jc w:val="both"/>
              <w:rPr>
                <w:rFonts w:ascii="Arial Narrow" w:hAnsi="Arial Narrow"/>
                <w:sz w:val="24"/>
                <w:lang w:val="en-CA"/>
              </w:rPr>
            </w:pPr>
          </w:p>
        </w:tc>
        <w:tc>
          <w:tcPr>
            <w:tcW w:w="4394" w:type="dxa"/>
          </w:tcPr>
          <w:p w:rsidR="00BF6D43" w:rsidRPr="00B10E7A" w:rsidRDefault="00BF6D43" w:rsidP="000177E1">
            <w:pPr>
              <w:jc w:val="both"/>
              <w:rPr>
                <w:rFonts w:ascii="Arial Narrow" w:hAnsi="Arial Narrow"/>
                <w:sz w:val="24"/>
                <w:lang w:val="en-CA"/>
              </w:rPr>
            </w:pP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3,763,000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b/>
                <w:sz w:val="24"/>
                <w:lang w:val="en-CA"/>
              </w:rPr>
            </w:pPr>
            <w:r w:rsidRPr="00B10E7A">
              <w:rPr>
                <w:rFonts w:ascii="Arial Narrow" w:hAnsi="Arial Narrow"/>
                <w:b/>
                <w:sz w:val="24"/>
                <w:lang w:val="en-CA"/>
              </w:rPr>
              <w:t>Equities</w:t>
            </w:r>
          </w:p>
        </w:tc>
        <w:tc>
          <w:tcPr>
            <w:tcW w:w="1276" w:type="dxa"/>
          </w:tcPr>
          <w:p w:rsidR="00BF6D43" w:rsidRPr="00B10E7A" w:rsidRDefault="00BF6D43" w:rsidP="000177E1">
            <w:pPr>
              <w:jc w:val="both"/>
              <w:rPr>
                <w:rFonts w:ascii="Arial Narrow" w:hAnsi="Arial Narrow"/>
                <w:sz w:val="24"/>
                <w:lang w:val="en-CA"/>
              </w:rPr>
            </w:pP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Notes payable (Note 3)</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600,000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Common shares, unlimited authorized, 1,000,000 issued</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1,150,000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Retained earnings</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706,000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Accumulated other comprehensive income</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252,000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Appreciation capital (Note 1)</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570,000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Income tax payable</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75,000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r w:rsidRPr="00B10E7A">
              <w:rPr>
                <w:rFonts w:ascii="Arial Narrow" w:hAnsi="Arial Narrow"/>
                <w:sz w:val="24"/>
                <w:lang w:val="en-CA"/>
              </w:rPr>
              <w:t>Reserve for depreciation of building</w:t>
            </w: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410,000</w:t>
            </w:r>
          </w:p>
        </w:tc>
      </w:tr>
      <w:tr w:rsidR="00BF6D43" w:rsidRPr="00B10E7A" w:rsidTr="00BF6D43">
        <w:trPr>
          <w:jc w:val="center"/>
        </w:trPr>
        <w:tc>
          <w:tcPr>
            <w:tcW w:w="5240" w:type="dxa"/>
            <w:gridSpan w:val="2"/>
          </w:tcPr>
          <w:p w:rsidR="00BF6D43" w:rsidRPr="00B10E7A" w:rsidRDefault="00BF6D43" w:rsidP="000177E1">
            <w:pPr>
              <w:jc w:val="both"/>
              <w:rPr>
                <w:rFonts w:ascii="Arial Narrow" w:hAnsi="Arial Narrow"/>
                <w:sz w:val="24"/>
                <w:lang w:val="en-CA"/>
              </w:rPr>
            </w:pPr>
          </w:p>
        </w:tc>
        <w:tc>
          <w:tcPr>
            <w:tcW w:w="1276" w:type="dxa"/>
          </w:tcPr>
          <w:p w:rsidR="00BF6D43" w:rsidRPr="00B10E7A" w:rsidRDefault="00BF6D43" w:rsidP="00BF6D43">
            <w:pPr>
              <w:jc w:val="right"/>
              <w:rPr>
                <w:rFonts w:ascii="Arial Narrow" w:hAnsi="Arial Narrow"/>
                <w:sz w:val="24"/>
                <w:lang w:val="en-CA"/>
              </w:rPr>
            </w:pPr>
            <w:r w:rsidRPr="00B10E7A">
              <w:rPr>
                <w:rFonts w:ascii="Arial Narrow" w:hAnsi="Arial Narrow"/>
                <w:sz w:val="24"/>
                <w:lang w:val="en-CA"/>
              </w:rPr>
              <w:t>3,763,000</w:t>
            </w:r>
          </w:p>
        </w:tc>
      </w:tr>
    </w:tbl>
    <w:p w:rsidR="000177E1" w:rsidRPr="00B10E7A" w:rsidRDefault="000177E1" w:rsidP="000177E1">
      <w:pPr>
        <w:spacing w:after="0"/>
        <w:jc w:val="both"/>
        <w:rPr>
          <w:rFonts w:ascii="Arial Narrow" w:hAnsi="Arial Narrow"/>
          <w:sz w:val="24"/>
          <w:lang w:val="en-CA"/>
        </w:rPr>
      </w:pPr>
    </w:p>
    <w:p w:rsidR="00E4730B" w:rsidRPr="00B10E7A" w:rsidRDefault="00E4730B">
      <w:pPr>
        <w:rPr>
          <w:rFonts w:ascii="Arial Narrow" w:hAnsi="Arial Narrow"/>
          <w:sz w:val="24"/>
          <w:lang w:val="en-CA"/>
        </w:rPr>
      </w:pPr>
      <w:r w:rsidRPr="00B10E7A">
        <w:rPr>
          <w:rFonts w:ascii="Arial Narrow" w:hAnsi="Arial Narrow"/>
          <w:i/>
          <w:sz w:val="24"/>
          <w:lang w:val="en-CA"/>
        </w:rPr>
        <w:t>Note 1</w:t>
      </w:r>
      <w:r w:rsidRPr="00B10E7A">
        <w:rPr>
          <w:rFonts w:ascii="Arial Narrow" w:hAnsi="Arial Narrow"/>
          <w:sz w:val="24"/>
          <w:lang w:val="en-CA"/>
        </w:rPr>
        <w:t>: Buildings are stated at cost, except for one building that was recorded at its appraised value as management determined the building to be worth more than originally paid at acquisition. The excess of the appr</w:t>
      </w:r>
      <w:r w:rsidR="00F8700F">
        <w:rPr>
          <w:rFonts w:ascii="Arial Narrow" w:hAnsi="Arial Narrow"/>
          <w:sz w:val="24"/>
          <w:lang w:val="en-CA"/>
        </w:rPr>
        <w:t>aisal value over the cost was $</w:t>
      </w:r>
      <w:r w:rsidRPr="00B10E7A">
        <w:rPr>
          <w:rFonts w:ascii="Arial Narrow" w:hAnsi="Arial Narrow"/>
          <w:sz w:val="24"/>
          <w:lang w:val="en-CA"/>
        </w:rPr>
        <w:t>5</w:t>
      </w:r>
      <w:r w:rsidR="00F8700F">
        <w:rPr>
          <w:rFonts w:ascii="Arial Narrow" w:hAnsi="Arial Narrow"/>
          <w:sz w:val="24"/>
          <w:lang w:val="en-CA"/>
        </w:rPr>
        <w:t>7</w:t>
      </w:r>
      <w:r w:rsidRPr="00B10E7A">
        <w:rPr>
          <w:rFonts w:ascii="Arial Narrow" w:hAnsi="Arial Narrow"/>
          <w:sz w:val="24"/>
          <w:lang w:val="en-CA"/>
        </w:rPr>
        <w:t>0,000. Depreciation has been recorded based on cost.</w:t>
      </w:r>
    </w:p>
    <w:p w:rsidR="00E4730B" w:rsidRPr="00B10E7A" w:rsidRDefault="00E4730B">
      <w:pPr>
        <w:rPr>
          <w:rFonts w:ascii="Arial Narrow" w:hAnsi="Arial Narrow"/>
          <w:sz w:val="24"/>
          <w:lang w:val="en-CA"/>
        </w:rPr>
      </w:pPr>
      <w:r w:rsidRPr="00B10E7A">
        <w:rPr>
          <w:rFonts w:ascii="Arial Narrow" w:hAnsi="Arial Narrow"/>
          <w:i/>
          <w:sz w:val="24"/>
          <w:lang w:val="en-CA"/>
        </w:rPr>
        <w:t>Note 2</w:t>
      </w:r>
      <w:r w:rsidRPr="00B10E7A">
        <w:rPr>
          <w:rFonts w:ascii="Arial Narrow" w:hAnsi="Arial Narrow"/>
          <w:sz w:val="24"/>
          <w:lang w:val="en-CA"/>
        </w:rPr>
        <w:t>: Goodwill in the amount of $70,000 was recognized because the company believed that the carrying amount of assets was not an accurate representation of the company’s fair value. The gain of $70,000 was credited to Retained earnings.</w:t>
      </w:r>
    </w:p>
    <w:p w:rsidR="00E4730B" w:rsidRPr="00B10E7A" w:rsidRDefault="00E4730B">
      <w:pPr>
        <w:rPr>
          <w:rFonts w:ascii="Arial Narrow" w:hAnsi="Arial Narrow"/>
          <w:sz w:val="24"/>
          <w:lang w:val="en-CA"/>
        </w:rPr>
      </w:pPr>
      <w:r w:rsidRPr="00B10E7A">
        <w:rPr>
          <w:rFonts w:ascii="Arial Narrow" w:hAnsi="Arial Narrow"/>
          <w:i/>
          <w:sz w:val="24"/>
          <w:lang w:val="en-CA"/>
        </w:rPr>
        <w:t>Note 3</w:t>
      </w:r>
      <w:r w:rsidRPr="00B10E7A">
        <w:rPr>
          <w:rFonts w:ascii="Arial Narrow" w:hAnsi="Arial Narrow"/>
          <w:sz w:val="24"/>
          <w:lang w:val="en-CA"/>
        </w:rPr>
        <w:t>: Notes payable are long-term except for the current installment due of $100,000.</w:t>
      </w:r>
    </w:p>
    <w:p w:rsidR="000374B0" w:rsidRPr="00B10E7A" w:rsidRDefault="00E4730B">
      <w:pPr>
        <w:rPr>
          <w:rFonts w:ascii="Arial Narrow" w:hAnsi="Arial Narrow"/>
          <w:sz w:val="24"/>
          <w:lang w:val="en-CA"/>
        </w:rPr>
      </w:pPr>
      <w:r w:rsidRPr="00B10E7A">
        <w:rPr>
          <w:rFonts w:ascii="Arial Narrow" w:hAnsi="Arial Narrow"/>
          <w:i/>
          <w:sz w:val="24"/>
          <w:lang w:val="en-CA"/>
        </w:rPr>
        <w:t>Note 4</w:t>
      </w:r>
      <w:r w:rsidRPr="00B10E7A">
        <w:rPr>
          <w:rFonts w:ascii="Arial Narrow" w:hAnsi="Arial Narrow"/>
          <w:sz w:val="24"/>
          <w:lang w:val="en-CA"/>
        </w:rPr>
        <w:t xml:space="preserve">: Investments – trading are FV-NI investments and have a fair value of $75,000. Investments in shares FV-OCI have a fair value of $200,000. Both investments are currently recorded at cost. </w:t>
      </w:r>
    </w:p>
    <w:p w:rsidR="000374B0" w:rsidRPr="00B10E7A" w:rsidRDefault="000374B0" w:rsidP="000374B0">
      <w:pPr>
        <w:pStyle w:val="ListParagraph"/>
        <w:numPr>
          <w:ilvl w:val="0"/>
          <w:numId w:val="3"/>
        </w:numPr>
        <w:rPr>
          <w:rFonts w:ascii="Arial Narrow" w:hAnsi="Arial Narrow"/>
          <w:sz w:val="24"/>
          <w:lang w:val="en-CA"/>
        </w:rPr>
      </w:pPr>
      <w:r w:rsidRPr="00B10E7A">
        <w:rPr>
          <w:rFonts w:ascii="Arial Narrow" w:hAnsi="Arial Narrow"/>
          <w:sz w:val="24"/>
          <w:lang w:val="en-CA"/>
        </w:rPr>
        <w:t>Prepare a corrected classified statement of financial position in good form. The notes above are for information only. Assume that you have decided not to use the revaluation model for PPE.</w:t>
      </w:r>
    </w:p>
    <w:p w:rsidR="006F50D5" w:rsidRPr="00B10E7A" w:rsidRDefault="000374B0" w:rsidP="000374B0">
      <w:pPr>
        <w:pStyle w:val="ListParagraph"/>
        <w:numPr>
          <w:ilvl w:val="0"/>
          <w:numId w:val="3"/>
        </w:numPr>
        <w:rPr>
          <w:rFonts w:ascii="Arial Narrow" w:hAnsi="Arial Narrow"/>
          <w:sz w:val="24"/>
          <w:lang w:val="en-CA"/>
        </w:rPr>
      </w:pPr>
      <w:r w:rsidRPr="00B10E7A">
        <w:rPr>
          <w:rFonts w:ascii="Arial Narrow" w:hAnsi="Arial Narrow"/>
          <w:sz w:val="24"/>
          <w:lang w:val="en-CA"/>
        </w:rPr>
        <w:t>From the perspective of a user of Delacosta’s statement of financial position, discuss the importance of proper accounting of goodwill.</w:t>
      </w:r>
      <w:r w:rsidR="006F50D5" w:rsidRPr="00B10E7A">
        <w:rPr>
          <w:rFonts w:ascii="Arial Narrow" w:hAnsi="Arial Narrow"/>
          <w:b/>
          <w:sz w:val="24"/>
          <w:lang w:val="en-CA"/>
        </w:rPr>
        <w:br w:type="page"/>
      </w:r>
    </w:p>
    <w:p w:rsidR="003272EE" w:rsidRPr="00B10E7A" w:rsidRDefault="003272EE">
      <w:pPr>
        <w:rPr>
          <w:rFonts w:ascii="Arial Narrow" w:hAnsi="Arial Narrow"/>
          <w:b/>
          <w:sz w:val="24"/>
          <w:lang w:val="en-CA"/>
        </w:rPr>
      </w:pPr>
      <w:r w:rsidRPr="00B10E7A">
        <w:rPr>
          <w:rFonts w:ascii="Arial Narrow" w:hAnsi="Arial Narrow"/>
          <w:b/>
          <w:sz w:val="24"/>
          <w:lang w:val="en-CA"/>
        </w:rPr>
        <w:lastRenderedPageBreak/>
        <w:br w:type="page"/>
      </w:r>
    </w:p>
    <w:p w:rsidR="00516879" w:rsidRPr="00B10E7A" w:rsidRDefault="00516879">
      <w:pPr>
        <w:rPr>
          <w:rFonts w:ascii="Arial Narrow" w:hAnsi="Arial Narrow"/>
          <w:b/>
          <w:sz w:val="24"/>
          <w:lang w:val="en-CA"/>
        </w:rPr>
      </w:pPr>
      <w:r w:rsidRPr="00B10E7A">
        <w:rPr>
          <w:rFonts w:ascii="Arial Narrow" w:hAnsi="Arial Narrow"/>
          <w:b/>
          <w:sz w:val="24"/>
          <w:lang w:val="en-CA"/>
        </w:rPr>
        <w:lastRenderedPageBreak/>
        <w:t>CA5-2 pg. 306</w:t>
      </w:r>
      <w:r w:rsidR="00625BAE">
        <w:rPr>
          <w:rFonts w:ascii="Arial Narrow" w:hAnsi="Arial Narrow"/>
          <w:b/>
          <w:sz w:val="24"/>
          <w:lang w:val="en-CA"/>
        </w:rPr>
        <w:t xml:space="preserve"> - read and prepare to discuss!</w:t>
      </w:r>
    </w:p>
    <w:p w:rsidR="00516879" w:rsidRPr="00B10E7A" w:rsidRDefault="00516879" w:rsidP="00516879">
      <w:pPr>
        <w:spacing w:after="0"/>
        <w:ind w:firstLine="720"/>
        <w:jc w:val="both"/>
        <w:rPr>
          <w:rFonts w:ascii="Arial Narrow" w:hAnsi="Arial Narrow"/>
          <w:sz w:val="24"/>
          <w:lang w:val="en-CA"/>
        </w:rPr>
      </w:pPr>
      <w:r w:rsidRPr="00B10E7A">
        <w:rPr>
          <w:rFonts w:ascii="Arial Narrow" w:hAnsi="Arial Narrow"/>
          <w:sz w:val="24"/>
          <w:lang w:val="en-CA"/>
        </w:rPr>
        <w:t xml:space="preserve">Hastings Inc. (HI) is a manufacturer that produces stainless car parts. It began as a family business several years ago and all shares are owned by the Hastings family. The company’s main assets are its manufacturing facility and surrounding land. The property was purchased many years ago and the carrying value reflects only a fraction of the asset’s cost. </w:t>
      </w:r>
    </w:p>
    <w:p w:rsidR="00516879" w:rsidRPr="00B10E7A" w:rsidRDefault="00516879" w:rsidP="00516879">
      <w:pPr>
        <w:spacing w:after="0"/>
        <w:ind w:firstLine="720"/>
        <w:jc w:val="both"/>
        <w:rPr>
          <w:rFonts w:ascii="Arial Narrow" w:hAnsi="Arial Narrow"/>
          <w:sz w:val="24"/>
          <w:lang w:val="en-CA"/>
        </w:rPr>
      </w:pPr>
      <w:r w:rsidRPr="00B10E7A">
        <w:rPr>
          <w:rFonts w:ascii="Arial Narrow" w:hAnsi="Arial Narrow"/>
          <w:sz w:val="24"/>
          <w:lang w:val="en-CA"/>
        </w:rPr>
        <w:t xml:space="preserve">The company currently follows ASPE and is wondering what the impact would be of switching to IFRS. Several of the Hastings family members would like to take the company public in the next 5 to 10 years. </w:t>
      </w:r>
    </w:p>
    <w:p w:rsidR="00516879" w:rsidRPr="00B10E7A" w:rsidRDefault="00516879" w:rsidP="00516879">
      <w:pPr>
        <w:spacing w:after="0"/>
        <w:ind w:firstLine="720"/>
        <w:jc w:val="both"/>
        <w:rPr>
          <w:rFonts w:ascii="Arial Narrow" w:hAnsi="Arial Narrow"/>
          <w:sz w:val="24"/>
          <w:lang w:val="en-CA"/>
        </w:rPr>
      </w:pPr>
      <w:r w:rsidRPr="00B10E7A">
        <w:rPr>
          <w:rFonts w:ascii="Arial Narrow" w:hAnsi="Arial Narrow"/>
          <w:sz w:val="24"/>
          <w:lang w:val="en-CA"/>
        </w:rPr>
        <w:t xml:space="preserve">Because of the recent dip in the economy, the company has suffered losses over the past three years. However, as the economy has recently begun picking up, management is confident that this year will be a profitable one. </w:t>
      </w:r>
    </w:p>
    <w:p w:rsidR="00516879" w:rsidRPr="00B10E7A" w:rsidRDefault="00516879" w:rsidP="00516879">
      <w:pPr>
        <w:spacing w:after="0"/>
        <w:jc w:val="both"/>
        <w:rPr>
          <w:rFonts w:ascii="Arial Narrow" w:hAnsi="Arial Narrow"/>
          <w:b/>
          <w:sz w:val="24"/>
          <w:lang w:val="en-CA"/>
        </w:rPr>
      </w:pPr>
    </w:p>
    <w:p w:rsidR="00516879" w:rsidRPr="00B10E7A" w:rsidRDefault="00516879" w:rsidP="00516879">
      <w:pPr>
        <w:spacing w:after="0"/>
        <w:jc w:val="both"/>
        <w:rPr>
          <w:rFonts w:ascii="Arial Narrow" w:hAnsi="Arial Narrow"/>
          <w:b/>
          <w:sz w:val="24"/>
          <w:lang w:val="en-CA"/>
        </w:rPr>
      </w:pPr>
      <w:r w:rsidRPr="00B10E7A">
        <w:rPr>
          <w:rFonts w:ascii="Arial Narrow" w:hAnsi="Arial Narrow"/>
          <w:b/>
          <w:sz w:val="24"/>
          <w:lang w:val="en-CA"/>
        </w:rPr>
        <w:t>Instructions</w:t>
      </w:r>
    </w:p>
    <w:p w:rsidR="00516879" w:rsidRPr="00B10E7A" w:rsidRDefault="00516879" w:rsidP="00516879">
      <w:pPr>
        <w:spacing w:after="0"/>
        <w:ind w:firstLine="720"/>
        <w:jc w:val="both"/>
        <w:rPr>
          <w:rFonts w:ascii="Arial Narrow" w:hAnsi="Arial Narrow"/>
          <w:sz w:val="24"/>
          <w:lang w:val="en-CA"/>
        </w:rPr>
      </w:pPr>
      <w:r w:rsidRPr="00B10E7A">
        <w:rPr>
          <w:rFonts w:ascii="Arial Narrow" w:hAnsi="Arial Narrow"/>
          <w:sz w:val="24"/>
          <w:lang w:val="en-CA"/>
        </w:rPr>
        <w:t>Adopt the role of the company’s auditors and discuss any financial reporting issues. Use the Conceptual Framework noted in Chapter 2 for the analysis.</w:t>
      </w:r>
    </w:p>
    <w:sectPr w:rsidR="00516879" w:rsidRPr="00B10E7A">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06C" w:rsidRDefault="0092406C" w:rsidP="00BA3CAC">
      <w:pPr>
        <w:spacing w:after="0" w:line="240" w:lineRule="auto"/>
      </w:pPr>
      <w:r>
        <w:separator/>
      </w:r>
    </w:p>
  </w:endnote>
  <w:endnote w:type="continuationSeparator" w:id="0">
    <w:p w:rsidR="0092406C" w:rsidRDefault="0092406C" w:rsidP="00BA3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Narrow">
    <w:panose1 w:val="020B0506020202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640410"/>
      <w:docPartObj>
        <w:docPartGallery w:val="Page Numbers (Bottom of Page)"/>
        <w:docPartUnique/>
      </w:docPartObj>
    </w:sdtPr>
    <w:sdtEndPr>
      <w:rPr>
        <w:noProof/>
        <w:sz w:val="20"/>
      </w:rPr>
    </w:sdtEndPr>
    <w:sdtContent>
      <w:p w:rsidR="00ED5365" w:rsidRPr="00ED5365" w:rsidRDefault="00ED5365">
        <w:pPr>
          <w:pStyle w:val="Footer"/>
          <w:jc w:val="center"/>
          <w:rPr>
            <w:sz w:val="20"/>
          </w:rPr>
        </w:pPr>
        <w:r w:rsidRPr="00ED5365">
          <w:rPr>
            <w:sz w:val="20"/>
          </w:rPr>
          <w:fldChar w:fldCharType="begin"/>
        </w:r>
        <w:r w:rsidRPr="00ED5365">
          <w:rPr>
            <w:sz w:val="20"/>
          </w:rPr>
          <w:instrText xml:space="preserve"> PAGE   \* MERGEFORMAT </w:instrText>
        </w:r>
        <w:r w:rsidRPr="00ED5365">
          <w:rPr>
            <w:sz w:val="20"/>
          </w:rPr>
          <w:fldChar w:fldCharType="separate"/>
        </w:r>
        <w:r w:rsidR="00982A61">
          <w:rPr>
            <w:noProof/>
            <w:sz w:val="20"/>
          </w:rPr>
          <w:t>9</w:t>
        </w:r>
        <w:r w:rsidRPr="00ED5365">
          <w:rPr>
            <w:noProof/>
            <w:sz w:val="20"/>
          </w:rPr>
          <w:fldChar w:fldCharType="end"/>
        </w:r>
      </w:p>
    </w:sdtContent>
  </w:sdt>
  <w:p w:rsidR="00ED5365" w:rsidRDefault="00ED536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06C" w:rsidRDefault="0092406C" w:rsidP="00BA3CAC">
      <w:pPr>
        <w:spacing w:after="0" w:line="240" w:lineRule="auto"/>
      </w:pPr>
      <w:r>
        <w:separator/>
      </w:r>
    </w:p>
  </w:footnote>
  <w:footnote w:type="continuationSeparator" w:id="0">
    <w:p w:rsidR="0092406C" w:rsidRDefault="0092406C" w:rsidP="00BA3CA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CAC" w:rsidRPr="00B10E7A" w:rsidRDefault="00B10E7A" w:rsidP="00B10E7A">
    <w:pPr>
      <w:pStyle w:val="Header"/>
      <w:tabs>
        <w:tab w:val="left" w:pos="2840"/>
      </w:tabs>
      <w:rPr>
        <w:rFonts w:ascii="Arial Narrow" w:hAnsi="Arial Narrow"/>
        <w:lang w:val="en-CA"/>
      </w:rPr>
    </w:pPr>
    <w:r>
      <w:rPr>
        <w:lang w:val="en-CA"/>
      </w:rPr>
      <w:tab/>
    </w:r>
    <w:r>
      <w:rPr>
        <w:lang w:val="en-CA"/>
      </w:rPr>
      <w:tab/>
    </w:r>
    <w:r>
      <w:rPr>
        <w:lang w:val="en-CA"/>
      </w:rPr>
      <w:tab/>
    </w:r>
    <w:r w:rsidR="00BA3CAC" w:rsidRPr="00B10E7A">
      <w:rPr>
        <w:rFonts w:ascii="Arial Narrow" w:hAnsi="Arial Narrow"/>
        <w:lang w:val="en-CA"/>
      </w:rPr>
      <w:t>ACCO 310 Financial Reporting I</w:t>
    </w:r>
  </w:p>
  <w:p w:rsidR="00BA3CAC" w:rsidRPr="00B10E7A" w:rsidRDefault="00BA3CAC" w:rsidP="00BA3CAC">
    <w:pPr>
      <w:pStyle w:val="Header"/>
      <w:jc w:val="right"/>
      <w:rPr>
        <w:rFonts w:ascii="Arial Narrow" w:hAnsi="Arial Narrow"/>
        <w:lang w:val="en-CA"/>
      </w:rPr>
    </w:pPr>
    <w:r w:rsidRPr="00B10E7A">
      <w:rPr>
        <w:rFonts w:ascii="Arial Narrow" w:hAnsi="Arial Narrow"/>
        <w:lang w:val="en-CA"/>
      </w:rPr>
      <w:t>Prof. Rucsandra Moldovan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673E"/>
    <w:multiLevelType w:val="hybridMultilevel"/>
    <w:tmpl w:val="2BEC550E"/>
    <w:lvl w:ilvl="0" w:tplc="DF101FFA">
      <w:start w:val="5"/>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6143FA0"/>
    <w:multiLevelType w:val="hybridMultilevel"/>
    <w:tmpl w:val="D8D29DB6"/>
    <w:lvl w:ilvl="0" w:tplc="AED6DFF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60112DE9"/>
    <w:multiLevelType w:val="hybridMultilevel"/>
    <w:tmpl w:val="A596F8E6"/>
    <w:lvl w:ilvl="0" w:tplc="8B88655A">
      <w:start w:val="5"/>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CAC"/>
    <w:rsid w:val="000177E1"/>
    <w:rsid w:val="000374B0"/>
    <w:rsid w:val="0016673B"/>
    <w:rsid w:val="00195BEA"/>
    <w:rsid w:val="001C6B3B"/>
    <w:rsid w:val="002355FA"/>
    <w:rsid w:val="003272EE"/>
    <w:rsid w:val="00376921"/>
    <w:rsid w:val="003F752F"/>
    <w:rsid w:val="004722EF"/>
    <w:rsid w:val="00482BDC"/>
    <w:rsid w:val="004850A2"/>
    <w:rsid w:val="00516879"/>
    <w:rsid w:val="00517021"/>
    <w:rsid w:val="00525116"/>
    <w:rsid w:val="005D3C43"/>
    <w:rsid w:val="00625BAE"/>
    <w:rsid w:val="006414C5"/>
    <w:rsid w:val="006A0538"/>
    <w:rsid w:val="006F50D5"/>
    <w:rsid w:val="007835D9"/>
    <w:rsid w:val="007A373F"/>
    <w:rsid w:val="00882922"/>
    <w:rsid w:val="0092406C"/>
    <w:rsid w:val="00943B18"/>
    <w:rsid w:val="00982A61"/>
    <w:rsid w:val="009D6309"/>
    <w:rsid w:val="00AD6AB0"/>
    <w:rsid w:val="00B10E7A"/>
    <w:rsid w:val="00B61D10"/>
    <w:rsid w:val="00BA3CAC"/>
    <w:rsid w:val="00BB243D"/>
    <w:rsid w:val="00BF6D43"/>
    <w:rsid w:val="00C06919"/>
    <w:rsid w:val="00E4730B"/>
    <w:rsid w:val="00E80453"/>
    <w:rsid w:val="00ED5365"/>
    <w:rsid w:val="00F32F45"/>
    <w:rsid w:val="00F8700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3C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CAC"/>
    <w:rPr>
      <w:lang w:val="en-US"/>
    </w:rPr>
  </w:style>
  <w:style w:type="paragraph" w:styleId="Footer">
    <w:name w:val="footer"/>
    <w:basedOn w:val="Normal"/>
    <w:link w:val="FooterChar"/>
    <w:uiPriority w:val="99"/>
    <w:unhideWhenUsed/>
    <w:rsid w:val="00BA3C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CAC"/>
    <w:rPr>
      <w:lang w:val="en-US"/>
    </w:rPr>
  </w:style>
  <w:style w:type="paragraph" w:styleId="ListParagraph">
    <w:name w:val="List Paragraph"/>
    <w:basedOn w:val="Normal"/>
    <w:uiPriority w:val="34"/>
    <w:qFormat/>
    <w:rsid w:val="00BB243D"/>
    <w:pPr>
      <w:ind w:left="720"/>
      <w:contextualSpacing/>
    </w:pPr>
  </w:style>
  <w:style w:type="table" w:styleId="TableGrid">
    <w:name w:val="Table Grid"/>
    <w:basedOn w:val="TableNormal"/>
    <w:uiPriority w:val="39"/>
    <w:rsid w:val="00BF6D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3C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CAC"/>
    <w:rPr>
      <w:lang w:val="en-US"/>
    </w:rPr>
  </w:style>
  <w:style w:type="paragraph" w:styleId="Footer">
    <w:name w:val="footer"/>
    <w:basedOn w:val="Normal"/>
    <w:link w:val="FooterChar"/>
    <w:uiPriority w:val="99"/>
    <w:unhideWhenUsed/>
    <w:rsid w:val="00BA3C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CAC"/>
    <w:rPr>
      <w:lang w:val="en-US"/>
    </w:rPr>
  </w:style>
  <w:style w:type="paragraph" w:styleId="ListParagraph">
    <w:name w:val="List Paragraph"/>
    <w:basedOn w:val="Normal"/>
    <w:uiPriority w:val="34"/>
    <w:qFormat/>
    <w:rsid w:val="00BB243D"/>
    <w:pPr>
      <w:ind w:left="720"/>
      <w:contextualSpacing/>
    </w:pPr>
  </w:style>
  <w:style w:type="table" w:styleId="TableGrid">
    <w:name w:val="Table Grid"/>
    <w:basedOn w:val="TableNormal"/>
    <w:uiPriority w:val="39"/>
    <w:rsid w:val="00BF6D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emf"/><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1331</Words>
  <Characters>7592</Characters>
  <Application>Microsoft Macintosh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Rucsandra Moldovan</dc:creator>
  <cp:keywords/>
  <dc:description/>
  <cp:lastModifiedBy>Cyrille Mae Ancanan</cp:lastModifiedBy>
  <cp:revision>2</cp:revision>
  <dcterms:created xsi:type="dcterms:W3CDTF">2015-09-23T16:50:00Z</dcterms:created>
  <dcterms:modified xsi:type="dcterms:W3CDTF">2015-09-23T16:50:00Z</dcterms:modified>
</cp:coreProperties>
</file>